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0361EB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EC24E1">
        <w:rPr>
          <w:bCs/>
          <w:noProof w:val="0"/>
          <w:sz w:val="24"/>
          <w:szCs w:val="24"/>
        </w:rPr>
        <w:t>09550</w:t>
      </w:r>
      <w:bookmarkStart w:id="0" w:name="_GoBack"/>
      <w:bookmarkEnd w:id="0"/>
    </w:p>
    <w:p w14:paraId="11776FA6" w14:textId="13A6F5C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DF072B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D181A">
        <w:rPr>
          <w:rFonts w:cs="Arial"/>
          <w:b/>
          <w:bCs/>
          <w:sz w:val="24"/>
        </w:rPr>
        <w:t>6.8.2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837978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181A">
        <w:rPr>
          <w:rFonts w:ascii="Arial" w:hAnsi="Arial" w:cs="Arial"/>
          <w:b/>
          <w:bCs/>
          <w:sz w:val="24"/>
        </w:rPr>
        <w:t>Dormant BWP and UE capabilities</w:t>
      </w:r>
      <w:r w:rsidR="00DF1AB2" w:rsidRPr="00DF1AB2">
        <w:rPr>
          <w:rFonts w:ascii="Arial" w:hAnsi="Arial" w:cs="Arial"/>
          <w:b/>
          <w:bCs/>
          <w:sz w:val="24"/>
        </w:rPr>
        <w:t xml:space="preserve"> </w:t>
      </w:r>
    </w:p>
    <w:p w14:paraId="1F147C23" w14:textId="56F5626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D181A" w:rsidRPr="006D181A">
        <w:rPr>
          <w:rFonts w:ascii="Arial" w:hAnsi="Arial" w:cs="Arial"/>
          <w:b/>
          <w:bCs/>
          <w:sz w:val="24"/>
        </w:rPr>
        <w:t xml:space="preserve">LTE_NR_DC_CA_enh-Core </w:t>
      </w:r>
      <w:r>
        <w:rPr>
          <w:rFonts w:ascii="Arial" w:hAnsi="Arial" w:cs="Arial"/>
          <w:b/>
          <w:bCs/>
          <w:sz w:val="24"/>
        </w:rPr>
        <w:t xml:space="preserve">- Release </w:t>
      </w:r>
      <w:r w:rsidR="00DF1AB2">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9697C95" w14:textId="7325FEA5" w:rsidR="002163B4" w:rsidRPr="006E13D1" w:rsidRDefault="006B4C68" w:rsidP="00A209D6">
      <w:r>
        <w:t>In this paper we discuss SCell dormancy and BWP requirements to support the feature.</w:t>
      </w:r>
    </w:p>
    <w:p w14:paraId="2BBFF540" w14:textId="692AF719" w:rsidR="00A209D6" w:rsidRPr="006E13D1" w:rsidRDefault="00A209D6" w:rsidP="00A209D6">
      <w:pPr>
        <w:pStyle w:val="Heading1"/>
      </w:pPr>
      <w:r w:rsidRPr="006E13D1">
        <w:t>2</w:t>
      </w:r>
      <w:r w:rsidRPr="006E13D1">
        <w:tab/>
      </w:r>
      <w:r w:rsidR="006B4C68">
        <w:t>SCell dormancy and BWPs</w:t>
      </w:r>
    </w:p>
    <w:p w14:paraId="256F4DCD" w14:textId="727E8CB1" w:rsidR="003326E5" w:rsidRDefault="00F161F7" w:rsidP="00F161F7">
      <w:pPr>
        <w:rPr>
          <w:lang w:val="en-US"/>
        </w:rPr>
      </w:pPr>
      <w:r>
        <w:rPr>
          <w:lang w:val="en-US"/>
        </w:rPr>
        <w:t>When looking at current release 16 feature groups (annex B) we can see that group 18-4 indicates</w:t>
      </w:r>
      <w:r w:rsidR="003326E5">
        <w:rPr>
          <w:lang w:val="en-US"/>
        </w:rPr>
        <w:t xml:space="preserve"> whether UE support S</w:t>
      </w:r>
      <w:r w:rsidR="005F167D">
        <w:rPr>
          <w:lang w:val="en-US"/>
        </w:rPr>
        <w:t>C</w:t>
      </w:r>
      <w:r w:rsidR="003326E5">
        <w:rPr>
          <w:lang w:val="en-US"/>
        </w:rPr>
        <w:t>ell dormancy indication within active time. It also indicates:</w:t>
      </w:r>
    </w:p>
    <w:p w14:paraId="689EF413" w14:textId="77777777" w:rsidR="003326E5" w:rsidRPr="003326E5" w:rsidRDefault="003326E5" w:rsidP="003D4844">
      <w:pPr>
        <w:pStyle w:val="ListParagraph"/>
        <w:numPr>
          <w:ilvl w:val="0"/>
          <w:numId w:val="11"/>
        </w:numPr>
        <w:rPr>
          <w:lang w:val="en-US"/>
        </w:rPr>
      </w:pPr>
      <w:r w:rsidRPr="003326E5">
        <w:rPr>
          <w:rFonts w:asciiTheme="majorHAnsi" w:hAnsiTheme="majorHAnsi" w:cstheme="majorHAnsi"/>
          <w:szCs w:val="18"/>
          <w:lang w:eastAsia="ja-JP"/>
        </w:rPr>
        <w:t>One dormant BWP and one non-dormant BWP is supported per carrier</w:t>
      </w:r>
    </w:p>
    <w:p w14:paraId="5ED3C251" w14:textId="77B4A806" w:rsidR="003326E5" w:rsidRPr="003326E5" w:rsidRDefault="003326E5" w:rsidP="003D4844">
      <w:pPr>
        <w:pStyle w:val="ListParagraph"/>
        <w:numPr>
          <w:ilvl w:val="0"/>
          <w:numId w:val="11"/>
        </w:numPr>
        <w:rPr>
          <w:lang w:val="en-US"/>
        </w:rPr>
      </w:pPr>
      <w:r w:rsidRPr="003326E5">
        <w:rPr>
          <w:rFonts w:asciiTheme="majorHAnsi" w:eastAsia="MS Mincho" w:hAnsiTheme="majorHAnsi" w:cstheme="majorHAnsi"/>
          <w:szCs w:val="18"/>
          <w:lang w:eastAsia="ja-JP"/>
        </w:rPr>
        <w:t>More than one non-dormant BWP per carrier is supported only if UE feature 6-3/6-4 is also supported</w:t>
      </w:r>
    </w:p>
    <w:p w14:paraId="5645DB58" w14:textId="4E8D355B" w:rsidR="00BC309A" w:rsidRDefault="003326E5" w:rsidP="00F161F7">
      <w:pPr>
        <w:rPr>
          <w:lang w:val="en-US"/>
        </w:rPr>
      </w:pPr>
      <w:r>
        <w:rPr>
          <w:lang w:val="en-US"/>
        </w:rPr>
        <w:t>18-4 does not explicitly write that UE would need to support two dedicated BWPs</w:t>
      </w:r>
      <w:r w:rsidR="00BC309A">
        <w:rPr>
          <w:lang w:val="en-US"/>
        </w:rPr>
        <w:t xml:space="preserve"> but it says that UE needs to support at least one dormant and one non-dormant BWP. </w:t>
      </w:r>
    </w:p>
    <w:p w14:paraId="014778CF" w14:textId="26F00EFD" w:rsidR="005F167D" w:rsidRDefault="00BC309A" w:rsidP="00F161F7">
      <w:pPr>
        <w:rPr>
          <w:lang w:val="en-US"/>
        </w:rPr>
      </w:pPr>
      <w:r>
        <w:rPr>
          <w:lang w:val="en-US"/>
        </w:rPr>
        <w:t>On the other hand the capability indicates as well that if more than one non-dormant BWP is to be supported then UE needs to support 6-3/6-4 (see annex A)</w:t>
      </w:r>
      <w:r w:rsidR="005F167D">
        <w:rPr>
          <w:lang w:val="en-US"/>
        </w:rPr>
        <w:t xml:space="preserve"> which requires up to 4 dedicated DL BWPs to be supported. So this seems to assume that UE would need to support </w:t>
      </w:r>
      <w:r w:rsidR="00194418">
        <w:rPr>
          <w:lang w:val="en-US"/>
        </w:rPr>
        <w:t xml:space="preserve">at least </w:t>
      </w:r>
      <w:r w:rsidR="005F167D">
        <w:rPr>
          <w:lang w:val="en-US"/>
        </w:rPr>
        <w:t>6-2 (two dedicated DL BWPs) for the basic 18-4 capability. If only one dedicated DL BWP would be required then NW would always need to set up initial BWP as dormant/non-dormant BWP, which would make the feature not that useful as initial BWP supports only CORESET#0. Thus we think that 6-2 is missing as requirement for 18-4 capability:</w:t>
      </w:r>
    </w:p>
    <w:p w14:paraId="44AEC747" w14:textId="2741D3FE" w:rsidR="005F167D" w:rsidRDefault="005F167D" w:rsidP="00F161F7">
      <w:pPr>
        <w:rPr>
          <w:lang w:val="en-US"/>
        </w:rPr>
      </w:pPr>
      <w:r>
        <w:rPr>
          <w:b/>
          <w:bCs/>
          <w:lang w:val="en-US"/>
        </w:rPr>
        <w:t xml:space="preserve">Proposal 1: </w:t>
      </w:r>
      <w:r>
        <w:rPr>
          <w:lang w:val="en-US"/>
        </w:rPr>
        <w:t>6-2 should be prerequisite for 18-4 capability i.e.</w:t>
      </w:r>
      <w:r w:rsidR="00E614DC">
        <w:rPr>
          <w:lang w:val="en-US"/>
        </w:rPr>
        <w:t xml:space="preserve"> </w:t>
      </w:r>
      <w:r w:rsidR="008056F4">
        <w:rPr>
          <w:lang w:val="en-US"/>
        </w:rPr>
        <w:t xml:space="preserve">UE needs to </w:t>
      </w:r>
      <w:r>
        <w:rPr>
          <w:lang w:val="en-US"/>
        </w:rPr>
        <w:t>support</w:t>
      </w:r>
      <w:r w:rsidR="00E614DC">
        <w:rPr>
          <w:lang w:val="en-US"/>
        </w:rPr>
        <w:t xml:space="preserve"> DCI-based BWP switching and</w:t>
      </w:r>
      <w:r>
        <w:rPr>
          <w:lang w:val="en-US"/>
        </w:rPr>
        <w:t xml:space="preserve"> two dedicated DL BWPs to support Scell dormancy</w:t>
      </w:r>
      <w:r w:rsidR="00194418">
        <w:rPr>
          <w:lang w:val="en-US"/>
        </w:rPr>
        <w:t>.</w:t>
      </w:r>
    </w:p>
    <w:p w14:paraId="0CB43EA9" w14:textId="133E5817" w:rsidR="00A4502C" w:rsidRDefault="00A4502C" w:rsidP="00F161F7">
      <w:pPr>
        <w:rPr>
          <w:lang w:val="en-US"/>
        </w:rPr>
      </w:pPr>
      <w:r>
        <w:rPr>
          <w:lang w:val="en-US"/>
        </w:rPr>
        <w:t xml:space="preserve">Generally, </w:t>
      </w:r>
      <w:r w:rsidR="00194418">
        <w:rPr>
          <w:lang w:val="en-US"/>
        </w:rPr>
        <w:t>it would be possible to</w:t>
      </w:r>
      <w:r>
        <w:rPr>
          <w:lang w:val="en-US"/>
        </w:rPr>
        <w:t xml:space="preserve"> consider that dormant BWP </w:t>
      </w:r>
      <w:r w:rsidR="00194418">
        <w:rPr>
          <w:lang w:val="en-US"/>
        </w:rPr>
        <w:t>are</w:t>
      </w:r>
      <w:r>
        <w:rPr>
          <w:lang w:val="en-US"/>
        </w:rPr>
        <w:t xml:space="preserve"> not part of “BWP budget”</w:t>
      </w:r>
      <w:r w:rsidR="00194418">
        <w:rPr>
          <w:lang w:val="en-US"/>
        </w:rPr>
        <w:t xml:space="preserve"> but additional to what UE supports. That is, </w:t>
      </w:r>
      <w:r>
        <w:rPr>
          <w:lang w:val="en-US"/>
        </w:rPr>
        <w:t xml:space="preserve"> if UE supports 6-2 (two dedicated DL BWPs) then </w:t>
      </w:r>
      <w:r w:rsidR="00194418">
        <w:rPr>
          <w:lang w:val="en-US"/>
        </w:rPr>
        <w:t>UE could still support having a dormant BWP configured as additional one. But it should at least be possible that UE supporting dormancy can always be configured with one (dedicated) non-dormant BWP and one (dedicated) dormant BWP. For UEs supporting only 6-2, we would also be fine to consider that UE supporting SCell dormancy can always support 2 (dedicated) non-dormant BWP and 1 (dedicated) dormant BWP (i.e. 3 BWPs in total in terms of signalling), but at least currently this is not how the capability is written</w:t>
      </w:r>
      <w:r w:rsidR="00470DD8">
        <w:rPr>
          <w:lang w:val="en-US"/>
        </w:rPr>
        <w:t xml:space="preserve"> and this could be see as a change to the interpretatin of the Rel-15 capabilities</w:t>
      </w:r>
      <w:r w:rsidR="00194418">
        <w:rPr>
          <w:lang w:val="en-US"/>
        </w:rPr>
        <w:t xml:space="preserve">. </w:t>
      </w:r>
      <w:r w:rsidR="00470DD8">
        <w:rPr>
          <w:lang w:val="en-US"/>
        </w:rPr>
        <w:t>The RAN1 wording also seems to suggest that dormancy doesn't really change the "BWP budget" by itself, so it seems reasonable to assume that the dormancy just utilizes what UE already supports for BWP operation via the Rel-15 capabilities.</w:t>
      </w:r>
    </w:p>
    <w:p w14:paraId="0DE7277F" w14:textId="4E564691" w:rsidR="00355577" w:rsidRDefault="00A4502C" w:rsidP="00F161F7">
      <w:pPr>
        <w:rPr>
          <w:lang w:val="en-US"/>
        </w:rPr>
      </w:pPr>
      <w:r>
        <w:rPr>
          <w:b/>
          <w:bCs/>
          <w:lang w:val="en-US"/>
        </w:rPr>
        <w:t xml:space="preserve">Proposal 2: </w:t>
      </w:r>
      <w:r>
        <w:rPr>
          <w:lang w:val="en-US"/>
        </w:rPr>
        <w:t>Dormant BWPs are counted in the “BWP budget”</w:t>
      </w:r>
      <w:r w:rsidR="00B948EA">
        <w:rPr>
          <w:lang w:val="en-US"/>
        </w:rPr>
        <w:t xml:space="preserve"> for dedicated BWPs, e.g. UE supporting </w:t>
      </w:r>
      <w:r w:rsidR="00784A74">
        <w:rPr>
          <w:lang w:val="en-US"/>
        </w:rPr>
        <w:t xml:space="preserve">2 dedicated BWPs </w:t>
      </w:r>
      <w:r w:rsidR="00431382">
        <w:rPr>
          <w:lang w:val="en-US"/>
        </w:rPr>
        <w:t>c</w:t>
      </w:r>
      <w:r w:rsidR="00784A74">
        <w:rPr>
          <w:lang w:val="en-US"/>
        </w:rPr>
        <w:t xml:space="preserve">ould </w:t>
      </w:r>
      <w:r w:rsidR="00431382">
        <w:rPr>
          <w:lang w:val="en-US"/>
        </w:rPr>
        <w:t xml:space="preserve">be configured with </w:t>
      </w:r>
      <w:r w:rsidR="00784A74">
        <w:rPr>
          <w:lang w:val="en-US"/>
        </w:rPr>
        <w:t>1 dormant BWP in addition</w:t>
      </w:r>
      <w:r w:rsidR="00C55486">
        <w:rPr>
          <w:lang w:val="en-US"/>
        </w:rPr>
        <w:t xml:space="preserve"> </w:t>
      </w:r>
      <w:r w:rsidR="00431382">
        <w:rPr>
          <w:lang w:val="en-US"/>
        </w:rPr>
        <w:t xml:space="preserve">to one </w:t>
      </w:r>
      <w:r w:rsidR="00E67C52">
        <w:rPr>
          <w:lang w:val="en-US"/>
        </w:rPr>
        <w:t xml:space="preserve">non-dormant BWP </w:t>
      </w:r>
      <w:r w:rsidR="00C55486">
        <w:rPr>
          <w:lang w:val="en-US"/>
        </w:rPr>
        <w:t>(</w:t>
      </w:r>
      <w:r w:rsidR="00E67C52">
        <w:rPr>
          <w:lang w:val="en-US"/>
        </w:rPr>
        <w:t xml:space="preserve">i.e. </w:t>
      </w:r>
      <w:r w:rsidR="00C55486">
        <w:rPr>
          <w:lang w:val="en-US"/>
        </w:rPr>
        <w:t>within the limits of Rel-15 signalling)</w:t>
      </w:r>
      <w:r w:rsidR="00355577">
        <w:rPr>
          <w:lang w:val="en-US"/>
        </w:rPr>
        <w:t>.</w:t>
      </w:r>
    </w:p>
    <w:p w14:paraId="5A28A79E" w14:textId="2467B0E3" w:rsidR="00A4502C" w:rsidRDefault="00C55486" w:rsidP="00F161F7">
      <w:pPr>
        <w:rPr>
          <w:lang w:val="en-US"/>
        </w:rPr>
      </w:pPr>
      <w:r>
        <w:rPr>
          <w:lang w:val="en-US"/>
        </w:rPr>
        <w:t>W</w:t>
      </w:r>
      <w:r w:rsidR="00355577">
        <w:rPr>
          <w:lang w:val="en-US"/>
        </w:rPr>
        <w:t xml:space="preserve">e would note that it's </w:t>
      </w:r>
      <w:r w:rsidR="008621BA">
        <w:rPr>
          <w:lang w:val="en-US"/>
        </w:rPr>
        <w:t xml:space="preserve">currently </w:t>
      </w:r>
      <w:r w:rsidR="00296847">
        <w:rPr>
          <w:lang w:val="en-US"/>
        </w:rPr>
        <w:t xml:space="preserve">allowed </w:t>
      </w:r>
      <w:r w:rsidR="008621BA">
        <w:rPr>
          <w:lang w:val="en-US"/>
        </w:rPr>
        <w:t>to configure at most 4</w:t>
      </w:r>
      <w:r w:rsidR="00355577">
        <w:rPr>
          <w:lang w:val="en-US"/>
        </w:rPr>
        <w:t xml:space="preserve"> dedicate</w:t>
      </w:r>
      <w:r w:rsidR="008621BA">
        <w:rPr>
          <w:lang w:val="en-US"/>
        </w:rPr>
        <w:t>d</w:t>
      </w:r>
      <w:r w:rsidR="00355577">
        <w:rPr>
          <w:lang w:val="en-US"/>
        </w:rPr>
        <w:t xml:space="preserve"> BWPs</w:t>
      </w:r>
      <w:r w:rsidR="00296847">
        <w:rPr>
          <w:lang w:val="en-US"/>
        </w:rPr>
        <w:t xml:space="preserve"> Rel-15</w:t>
      </w:r>
      <w:r w:rsidR="008621BA">
        <w:rPr>
          <w:lang w:val="en-US"/>
        </w:rPr>
        <w:t xml:space="preserve">. In theory the signalling supports 5 </w:t>
      </w:r>
      <w:r w:rsidR="00AA5021">
        <w:rPr>
          <w:lang w:val="en-US"/>
        </w:rPr>
        <w:t>dedi</w:t>
      </w:r>
      <w:r w:rsidR="000D07A1">
        <w:rPr>
          <w:lang w:val="en-US"/>
        </w:rPr>
        <w:t>c</w:t>
      </w:r>
      <w:r w:rsidR="00AA5021">
        <w:rPr>
          <w:lang w:val="en-US"/>
        </w:rPr>
        <w:t xml:space="preserve">ated </w:t>
      </w:r>
      <w:r w:rsidR="008621BA">
        <w:rPr>
          <w:lang w:val="en-US"/>
        </w:rPr>
        <w:t xml:space="preserve">BWPs </w:t>
      </w:r>
      <w:r w:rsidR="00AA5021">
        <w:rPr>
          <w:lang w:val="en-US"/>
        </w:rPr>
        <w:t>(</w:t>
      </w:r>
      <w:r w:rsidR="008621BA">
        <w:rPr>
          <w:lang w:val="en-US"/>
        </w:rPr>
        <w:t xml:space="preserve">using configuration </w:t>
      </w:r>
      <w:r w:rsidR="008E3928">
        <w:rPr>
          <w:lang w:val="en-US"/>
        </w:rPr>
        <w:t xml:space="preserve">option where BWP#0 </w:t>
      </w:r>
      <w:r w:rsidR="007F59D3">
        <w:rPr>
          <w:lang w:val="en-US"/>
        </w:rPr>
        <w:t xml:space="preserve">uses </w:t>
      </w:r>
      <w:r w:rsidR="008E3928">
        <w:rPr>
          <w:lang w:val="en-US"/>
        </w:rPr>
        <w:t>a dedicated configuration</w:t>
      </w:r>
      <w:r w:rsidR="00AA5021">
        <w:rPr>
          <w:lang w:val="en-US"/>
        </w:rPr>
        <w:t xml:space="preserve">, see Annex </w:t>
      </w:r>
      <w:r w:rsidR="0091131F">
        <w:rPr>
          <w:lang w:val="en-US"/>
        </w:rPr>
        <w:t>B.2)</w:t>
      </w:r>
      <w:r w:rsidR="00784A74">
        <w:rPr>
          <w:lang w:val="en-US"/>
        </w:rPr>
        <w:t xml:space="preserve"> </w:t>
      </w:r>
      <w:r w:rsidR="00296847">
        <w:rPr>
          <w:lang w:val="en-US"/>
        </w:rPr>
        <w:t>so no new signalling may be needed, but this would not be possible with all BWP configuration options.</w:t>
      </w:r>
      <w:r w:rsidR="007F59D3">
        <w:rPr>
          <w:lang w:val="en-US"/>
        </w:rPr>
        <w:t xml:space="preserve"> </w:t>
      </w:r>
    </w:p>
    <w:p w14:paraId="27A69575" w14:textId="68E63CAD" w:rsidR="004B0054" w:rsidRPr="00A4502C" w:rsidRDefault="004B0054" w:rsidP="00F161F7">
      <w:pPr>
        <w:rPr>
          <w:lang w:val="en-US"/>
        </w:rPr>
      </w:pPr>
      <w:r>
        <w:rPr>
          <w:lang w:val="en-US"/>
        </w:rPr>
        <w:t>Finally, we would note that it would be good to inform RAN1 of the RAN2 conclusions to avoid misalignments.</w:t>
      </w:r>
    </w:p>
    <w:p w14:paraId="4BB0EB9E" w14:textId="7B6A380D" w:rsidR="00DC12D8" w:rsidRDefault="00DC12D8" w:rsidP="00F161F7">
      <w:pPr>
        <w:rPr>
          <w:lang w:val="en-US"/>
        </w:rPr>
      </w:pPr>
      <w:r>
        <w:rPr>
          <w:b/>
          <w:bCs/>
          <w:lang w:val="en-US"/>
        </w:rPr>
        <w:t xml:space="preserve">Proposal </w:t>
      </w:r>
      <w:r w:rsidR="00A4502C">
        <w:rPr>
          <w:b/>
          <w:bCs/>
          <w:lang w:val="en-US"/>
        </w:rPr>
        <w:t>3</w:t>
      </w:r>
      <w:r>
        <w:rPr>
          <w:b/>
          <w:bCs/>
          <w:lang w:val="en-US"/>
        </w:rPr>
        <w:t xml:space="preserve">: </w:t>
      </w:r>
      <w:r>
        <w:rPr>
          <w:lang w:val="en-US"/>
        </w:rPr>
        <w:t>Inform RAN1 on the decision</w:t>
      </w:r>
      <w:r w:rsidR="004B0054">
        <w:rPr>
          <w:lang w:val="en-US"/>
        </w:rPr>
        <w:t>s concerning above proposals.</w:t>
      </w:r>
    </w:p>
    <w:p w14:paraId="5FF2457F" w14:textId="33F8B2DF" w:rsidR="00A209D6" w:rsidRPr="006E13D1" w:rsidRDefault="000007DD" w:rsidP="00A209D6">
      <w:pPr>
        <w:pStyle w:val="Heading1"/>
      </w:pPr>
      <w:r>
        <w:lastRenderedPageBreak/>
        <w:t>3</w:t>
      </w:r>
      <w:r w:rsidR="00A209D6" w:rsidRPr="006E13D1">
        <w:tab/>
      </w:r>
      <w:r w:rsidR="008C3057">
        <w:t>Conclusion</w:t>
      </w:r>
    </w:p>
    <w:p w14:paraId="0B477D19" w14:textId="65FCED26" w:rsidR="008F4E1E" w:rsidRDefault="008F4E1E" w:rsidP="008F4E1E">
      <w:pPr>
        <w:rPr>
          <w:lang w:val="en-US"/>
        </w:rPr>
      </w:pPr>
      <w:r>
        <w:rPr>
          <w:b/>
          <w:bCs/>
          <w:lang w:val="en-US"/>
        </w:rPr>
        <w:t xml:space="preserve">Proposal 1: </w:t>
      </w:r>
      <w:r>
        <w:rPr>
          <w:lang w:val="en-US"/>
        </w:rPr>
        <w:t>6-2 should be prerequisite for 18-4 capability i.e. UE needs to support DCI-based BWP switching and two dedicated DL BWPs to support Scell dormancy.</w:t>
      </w:r>
    </w:p>
    <w:p w14:paraId="491DEFD7" w14:textId="3DD35B02" w:rsidR="008F4E1E" w:rsidRDefault="008F4E1E" w:rsidP="008F4E1E">
      <w:pPr>
        <w:rPr>
          <w:lang w:val="en-US"/>
        </w:rPr>
      </w:pPr>
      <w:r>
        <w:rPr>
          <w:b/>
          <w:bCs/>
          <w:lang w:val="en-US"/>
        </w:rPr>
        <w:t xml:space="preserve">Proposal 2: </w:t>
      </w:r>
      <w:r>
        <w:rPr>
          <w:lang w:val="en-US"/>
        </w:rPr>
        <w:t>Dormant BWPs are counted in the “BWP budget” for dedicated BWPs, e.g. UE supporting 2 dedicated BWPs could be configured with 1 dormant BWP in addition to one non-dormant BWP (i.e. within the limits of Rel-15 signalling).</w:t>
      </w:r>
    </w:p>
    <w:p w14:paraId="68BC5143" w14:textId="77777777" w:rsidR="008F4E1E" w:rsidRDefault="008F4E1E" w:rsidP="008F4E1E">
      <w:pPr>
        <w:rPr>
          <w:lang w:val="en-US"/>
        </w:rPr>
      </w:pPr>
      <w:r>
        <w:rPr>
          <w:b/>
          <w:bCs/>
          <w:lang w:val="en-US"/>
        </w:rPr>
        <w:t xml:space="preserve">Proposal 3: </w:t>
      </w:r>
      <w:r>
        <w:rPr>
          <w:lang w:val="en-US"/>
        </w:rPr>
        <w:t>Inform RAN1 on the decisions concerning above proposals.</w:t>
      </w:r>
    </w:p>
    <w:p w14:paraId="771B3FBC" w14:textId="6B69108C" w:rsidR="00D70E67" w:rsidRPr="008F4E1E" w:rsidRDefault="00D70E67" w:rsidP="00A209D6">
      <w:pPr>
        <w:rPr>
          <w:lang w:val="en-US"/>
        </w:rPr>
      </w:pPr>
    </w:p>
    <w:p w14:paraId="47FE5CAB" w14:textId="77777777" w:rsidR="00F161F7" w:rsidRDefault="00C94513" w:rsidP="00F161F7">
      <w:pPr>
        <w:pStyle w:val="Heading1"/>
        <w:sectPr w:rsidR="00F161F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r>
        <w:br w:type="page"/>
      </w:r>
    </w:p>
    <w:p w14:paraId="4EA89356" w14:textId="51771D11" w:rsidR="00C94513" w:rsidRDefault="00F161F7" w:rsidP="00F161F7">
      <w:pPr>
        <w:pStyle w:val="Heading1"/>
      </w:pPr>
      <w:r>
        <w:lastRenderedPageBreak/>
        <w:t>Annex A: 38.822</w:t>
      </w:r>
      <w:r w:rsidR="003326E5">
        <w:t>-15.0.1</w:t>
      </w:r>
      <w:r>
        <w:t xml:space="preserve"> on BWP feature groups</w:t>
      </w:r>
    </w:p>
    <w:tbl>
      <w:tblPr>
        <w:tblW w:w="21243" w:type="dxa"/>
        <w:tblLook w:val="04A0" w:firstRow="1" w:lastRow="0" w:firstColumn="1" w:lastColumn="0" w:noHBand="0" w:noVBand="1"/>
      </w:tblPr>
      <w:tblGrid>
        <w:gridCol w:w="19045"/>
        <w:gridCol w:w="222"/>
        <w:gridCol w:w="221"/>
        <w:gridCol w:w="221"/>
        <w:gridCol w:w="221"/>
        <w:gridCol w:w="221"/>
        <w:gridCol w:w="221"/>
        <w:gridCol w:w="221"/>
        <w:gridCol w:w="221"/>
        <w:gridCol w:w="221"/>
        <w:gridCol w:w="221"/>
      </w:tblGrid>
      <w:tr w:rsidR="00F161F7" w14:paraId="24BC21AB" w14:textId="77777777" w:rsidTr="003326E5">
        <w:tc>
          <w:tcPr>
            <w:tcW w:w="1677" w:type="dxa"/>
            <w:vMerge w:val="restart"/>
          </w:tcPr>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3326E5" w14:paraId="2AD356C2" w14:textId="77777777" w:rsidTr="003326E5">
              <w:tc>
                <w:tcPr>
                  <w:tcW w:w="1677" w:type="dxa"/>
                  <w:vMerge w:val="restart"/>
                  <w:hideMark/>
                </w:tcPr>
                <w:p w14:paraId="77115176" w14:textId="77777777" w:rsidR="003326E5" w:rsidRDefault="003326E5" w:rsidP="003326E5">
                  <w:pPr>
                    <w:pStyle w:val="TAL"/>
                    <w:rPr>
                      <w:lang w:eastAsia="ja-JP"/>
                    </w:rPr>
                  </w:pPr>
                  <w:r>
                    <w:t>6. CA/DC, BWP, SUL</w:t>
                  </w:r>
                </w:p>
              </w:tc>
              <w:tc>
                <w:tcPr>
                  <w:tcW w:w="815" w:type="dxa"/>
                  <w:hideMark/>
                </w:tcPr>
                <w:p w14:paraId="6E6F134D" w14:textId="77777777" w:rsidR="003326E5" w:rsidRDefault="003326E5" w:rsidP="003326E5">
                  <w:pPr>
                    <w:pStyle w:val="TAL"/>
                  </w:pPr>
                  <w:r>
                    <w:t>6-1</w:t>
                  </w:r>
                </w:p>
              </w:tc>
              <w:tc>
                <w:tcPr>
                  <w:tcW w:w="1957" w:type="dxa"/>
                  <w:hideMark/>
                </w:tcPr>
                <w:p w14:paraId="36445F7E" w14:textId="77777777" w:rsidR="003326E5" w:rsidRDefault="003326E5" w:rsidP="003326E5">
                  <w:pPr>
                    <w:pStyle w:val="TAL"/>
                  </w:pPr>
                  <w:r>
                    <w:t>Basic BWP operation with restriction</w:t>
                  </w:r>
                </w:p>
              </w:tc>
              <w:tc>
                <w:tcPr>
                  <w:tcW w:w="2497" w:type="dxa"/>
                  <w:hideMark/>
                </w:tcPr>
                <w:p w14:paraId="78103B9D" w14:textId="77777777" w:rsidR="003326E5" w:rsidRDefault="003326E5" w:rsidP="003326E5">
                  <w:pPr>
                    <w:pStyle w:val="TAL"/>
                  </w:pPr>
                  <w:r>
                    <w:t>1) 1 UE-specific RRC configured DL BWP per carrier</w:t>
                  </w:r>
                </w:p>
                <w:p w14:paraId="21CBE3E2" w14:textId="77777777" w:rsidR="003326E5" w:rsidRDefault="003326E5" w:rsidP="003326E5">
                  <w:pPr>
                    <w:pStyle w:val="TAL"/>
                  </w:pPr>
                  <w:r>
                    <w:t>2) 1 UE-specific RRC configured UL BWP per carrier</w:t>
                  </w:r>
                </w:p>
                <w:p w14:paraId="25F213AB" w14:textId="77777777" w:rsidR="003326E5" w:rsidRDefault="003326E5" w:rsidP="003326E5">
                  <w:pPr>
                    <w:pStyle w:val="TAL"/>
                  </w:pPr>
                  <w:r>
                    <w:t>3) RRC reconfiguration of any parameters related to BWP</w:t>
                  </w:r>
                </w:p>
                <w:p w14:paraId="52E9544C" w14:textId="77777777" w:rsidR="003326E5" w:rsidRDefault="003326E5" w:rsidP="003326E5">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5C53C4E5" w14:textId="77777777" w:rsidR="003326E5" w:rsidRDefault="003326E5" w:rsidP="003326E5">
                  <w:pPr>
                    <w:pStyle w:val="TAL"/>
                  </w:pPr>
                </w:p>
              </w:tc>
              <w:tc>
                <w:tcPr>
                  <w:tcW w:w="3388" w:type="dxa"/>
                  <w:hideMark/>
                </w:tcPr>
                <w:p w14:paraId="14B56481" w14:textId="77777777" w:rsidR="003326E5" w:rsidRDefault="003326E5" w:rsidP="003326E5">
                  <w:pPr>
                    <w:pStyle w:val="TAL"/>
                  </w:pPr>
                  <w:r>
                    <w:t>n/a</w:t>
                  </w:r>
                </w:p>
              </w:tc>
              <w:tc>
                <w:tcPr>
                  <w:tcW w:w="2988" w:type="dxa"/>
                  <w:hideMark/>
                </w:tcPr>
                <w:p w14:paraId="0DDD5E24" w14:textId="77777777" w:rsidR="003326E5" w:rsidRDefault="003326E5" w:rsidP="003326E5">
                  <w:pPr>
                    <w:pStyle w:val="TAL"/>
                  </w:pPr>
                  <w:r>
                    <w:t>n/a</w:t>
                  </w:r>
                </w:p>
              </w:tc>
              <w:tc>
                <w:tcPr>
                  <w:tcW w:w="1416" w:type="dxa"/>
                  <w:hideMark/>
                </w:tcPr>
                <w:p w14:paraId="0071442D" w14:textId="77777777" w:rsidR="003326E5" w:rsidRDefault="003326E5" w:rsidP="003326E5">
                  <w:pPr>
                    <w:pStyle w:val="TAL"/>
                  </w:pPr>
                  <w:r>
                    <w:t>n/a</w:t>
                  </w:r>
                </w:p>
              </w:tc>
              <w:tc>
                <w:tcPr>
                  <w:tcW w:w="1416" w:type="dxa"/>
                  <w:hideMark/>
                </w:tcPr>
                <w:p w14:paraId="14513590" w14:textId="77777777" w:rsidR="003326E5" w:rsidRDefault="003326E5" w:rsidP="003326E5">
                  <w:pPr>
                    <w:pStyle w:val="TAL"/>
                  </w:pPr>
                  <w:r>
                    <w:t>n/a</w:t>
                  </w:r>
                </w:p>
              </w:tc>
              <w:tc>
                <w:tcPr>
                  <w:tcW w:w="1857" w:type="dxa"/>
                </w:tcPr>
                <w:p w14:paraId="0A80862C" w14:textId="77777777" w:rsidR="003326E5" w:rsidRDefault="003326E5" w:rsidP="003326E5">
                  <w:pPr>
                    <w:pStyle w:val="TAL"/>
                  </w:pPr>
                  <w:r>
                    <w:t>This feature should be mandatory without capability signalling for at least BWPs which is the same as the set of specified channel BW</w:t>
                  </w:r>
                </w:p>
                <w:p w14:paraId="7FA7EF14" w14:textId="77777777" w:rsidR="003326E5" w:rsidRDefault="003326E5" w:rsidP="003326E5">
                  <w:pPr>
                    <w:pStyle w:val="TAL"/>
                  </w:pPr>
                </w:p>
                <w:p w14:paraId="688BD773" w14:textId="77777777" w:rsidR="003326E5" w:rsidRDefault="003326E5" w:rsidP="003326E5">
                  <w:pPr>
                    <w:pStyle w:val="TAL"/>
                  </w:pPr>
                  <w:r>
                    <w:t>UE-specific RRC configured DL/UL BWP can have the same or different numerology from the initial active DL/UL BWP</w:t>
                  </w:r>
                </w:p>
              </w:tc>
              <w:tc>
                <w:tcPr>
                  <w:tcW w:w="1907" w:type="dxa"/>
                  <w:hideMark/>
                </w:tcPr>
                <w:p w14:paraId="57D53EB4" w14:textId="77777777" w:rsidR="003326E5" w:rsidRDefault="003326E5" w:rsidP="003326E5">
                  <w:pPr>
                    <w:pStyle w:val="TAL"/>
                  </w:pPr>
                  <w:r>
                    <w:t>Mandatory without capability signalling</w:t>
                  </w:r>
                </w:p>
              </w:tc>
            </w:tr>
            <w:tr w:rsidR="003326E5" w14:paraId="03E786F7" w14:textId="77777777" w:rsidTr="003326E5">
              <w:tc>
                <w:tcPr>
                  <w:tcW w:w="0" w:type="auto"/>
                  <w:vMerge/>
                  <w:vAlign w:val="center"/>
                  <w:hideMark/>
                </w:tcPr>
                <w:p w14:paraId="08B42260" w14:textId="77777777" w:rsidR="003326E5" w:rsidRDefault="003326E5" w:rsidP="003326E5">
                  <w:pPr>
                    <w:spacing w:after="0"/>
                    <w:rPr>
                      <w:rFonts w:ascii="Arial" w:hAnsi="Arial"/>
                      <w:sz w:val="18"/>
                      <w:lang w:eastAsia="ja-JP"/>
                    </w:rPr>
                  </w:pPr>
                </w:p>
              </w:tc>
              <w:tc>
                <w:tcPr>
                  <w:tcW w:w="815" w:type="dxa"/>
                  <w:hideMark/>
                </w:tcPr>
                <w:p w14:paraId="019784CF" w14:textId="77777777" w:rsidR="003326E5" w:rsidRDefault="003326E5" w:rsidP="003326E5">
                  <w:pPr>
                    <w:pStyle w:val="TAL"/>
                  </w:pPr>
                  <w:r>
                    <w:t>6-1a</w:t>
                  </w:r>
                </w:p>
              </w:tc>
              <w:tc>
                <w:tcPr>
                  <w:tcW w:w="1957" w:type="dxa"/>
                  <w:hideMark/>
                </w:tcPr>
                <w:p w14:paraId="2CCEBB10" w14:textId="77777777" w:rsidR="003326E5" w:rsidRDefault="003326E5" w:rsidP="003326E5">
                  <w:pPr>
                    <w:pStyle w:val="TAL"/>
                  </w:pPr>
                  <w:r>
                    <w:t>BWP operation without restriction on BW of BWP(s)</w:t>
                  </w:r>
                </w:p>
              </w:tc>
              <w:tc>
                <w:tcPr>
                  <w:tcW w:w="2497" w:type="dxa"/>
                  <w:hideMark/>
                </w:tcPr>
                <w:p w14:paraId="11EB21B1" w14:textId="77777777" w:rsidR="003326E5" w:rsidRDefault="003326E5" w:rsidP="003326E5">
                  <w:pPr>
                    <w:pStyle w:val="TAL"/>
                  </w:pPr>
                  <w:r>
                    <w:t>BW of UE-specific RRC configured BWP may not include BW of the CORESET#0 (if CORESET#0 is present) and SSB for PCell/PSCell (if configured) and BW of the UE-specific RRC configured BWP may not include SSB for SCell</w:t>
                  </w:r>
                </w:p>
              </w:tc>
              <w:tc>
                <w:tcPr>
                  <w:tcW w:w="1325" w:type="dxa"/>
                  <w:hideMark/>
                </w:tcPr>
                <w:p w14:paraId="04785038" w14:textId="77777777" w:rsidR="003326E5" w:rsidRDefault="003326E5" w:rsidP="003326E5">
                  <w:pPr>
                    <w:pStyle w:val="TAL"/>
                  </w:pPr>
                  <w:r>
                    <w:t>6-1, 6-2, 6-3, or 6-4</w:t>
                  </w:r>
                </w:p>
              </w:tc>
              <w:tc>
                <w:tcPr>
                  <w:tcW w:w="3388" w:type="dxa"/>
                  <w:hideMark/>
                </w:tcPr>
                <w:p w14:paraId="16AA2610" w14:textId="77777777" w:rsidR="003326E5" w:rsidRDefault="003326E5" w:rsidP="003326E5">
                  <w:pPr>
                    <w:pStyle w:val="TAL"/>
                    <w:rPr>
                      <w:i/>
                    </w:rPr>
                  </w:pPr>
                  <w:r>
                    <w:rPr>
                      <w:i/>
                    </w:rPr>
                    <w:t>bwp-WithoutRestriction</w:t>
                  </w:r>
                </w:p>
              </w:tc>
              <w:tc>
                <w:tcPr>
                  <w:tcW w:w="2988" w:type="dxa"/>
                  <w:hideMark/>
                </w:tcPr>
                <w:p w14:paraId="1882E801" w14:textId="77777777" w:rsidR="003326E5" w:rsidRDefault="003326E5" w:rsidP="003326E5">
                  <w:pPr>
                    <w:pStyle w:val="TAL"/>
                    <w:rPr>
                      <w:i/>
                    </w:rPr>
                  </w:pPr>
                  <w:r>
                    <w:rPr>
                      <w:i/>
                    </w:rPr>
                    <w:t>BandNR</w:t>
                  </w:r>
                </w:p>
              </w:tc>
              <w:tc>
                <w:tcPr>
                  <w:tcW w:w="1416" w:type="dxa"/>
                  <w:hideMark/>
                </w:tcPr>
                <w:p w14:paraId="710B2253" w14:textId="77777777" w:rsidR="003326E5" w:rsidRDefault="003326E5" w:rsidP="003326E5">
                  <w:pPr>
                    <w:pStyle w:val="TAL"/>
                  </w:pPr>
                  <w:r>
                    <w:t>n/a</w:t>
                  </w:r>
                </w:p>
              </w:tc>
              <w:tc>
                <w:tcPr>
                  <w:tcW w:w="1416" w:type="dxa"/>
                  <w:hideMark/>
                </w:tcPr>
                <w:p w14:paraId="5330B5F0" w14:textId="77777777" w:rsidR="003326E5" w:rsidRDefault="003326E5" w:rsidP="003326E5">
                  <w:pPr>
                    <w:pStyle w:val="TAL"/>
                  </w:pPr>
                  <w:r>
                    <w:t>n/a</w:t>
                  </w:r>
                </w:p>
              </w:tc>
              <w:tc>
                <w:tcPr>
                  <w:tcW w:w="1857" w:type="dxa"/>
                  <w:hideMark/>
                </w:tcPr>
                <w:p w14:paraId="0EC08A16" w14:textId="77777777" w:rsidR="003326E5" w:rsidRDefault="003326E5" w:rsidP="003326E5">
                  <w:pPr>
                    <w:pStyle w:val="TAL"/>
                  </w:pPr>
                  <w:r>
                    <w:t>6-1a is applicable to 6-1, 6-2, 6-3, or 6-4.</w:t>
                  </w:r>
                </w:p>
              </w:tc>
              <w:tc>
                <w:tcPr>
                  <w:tcW w:w="1907" w:type="dxa"/>
                  <w:hideMark/>
                </w:tcPr>
                <w:p w14:paraId="0B7E35ED" w14:textId="77777777" w:rsidR="003326E5" w:rsidRDefault="003326E5" w:rsidP="003326E5">
                  <w:pPr>
                    <w:pStyle w:val="TAL"/>
                  </w:pPr>
                  <w:r>
                    <w:t>Optional with capability signalling</w:t>
                  </w:r>
                </w:p>
              </w:tc>
            </w:tr>
            <w:tr w:rsidR="003326E5" w14:paraId="4F8A94F0" w14:textId="77777777" w:rsidTr="003326E5">
              <w:tc>
                <w:tcPr>
                  <w:tcW w:w="0" w:type="auto"/>
                  <w:vMerge/>
                  <w:vAlign w:val="center"/>
                  <w:hideMark/>
                </w:tcPr>
                <w:p w14:paraId="6431583E" w14:textId="77777777" w:rsidR="003326E5" w:rsidRDefault="003326E5" w:rsidP="003326E5">
                  <w:pPr>
                    <w:spacing w:after="0"/>
                    <w:rPr>
                      <w:rFonts w:ascii="Arial" w:hAnsi="Arial"/>
                      <w:sz w:val="18"/>
                      <w:lang w:eastAsia="ja-JP"/>
                    </w:rPr>
                  </w:pPr>
                </w:p>
              </w:tc>
              <w:tc>
                <w:tcPr>
                  <w:tcW w:w="815" w:type="dxa"/>
                  <w:hideMark/>
                </w:tcPr>
                <w:p w14:paraId="54132A4C" w14:textId="77777777" w:rsidR="003326E5" w:rsidRDefault="003326E5" w:rsidP="003326E5">
                  <w:pPr>
                    <w:pStyle w:val="TAL"/>
                  </w:pPr>
                  <w:r>
                    <w:t>6-2</w:t>
                  </w:r>
                </w:p>
              </w:tc>
              <w:tc>
                <w:tcPr>
                  <w:tcW w:w="1957" w:type="dxa"/>
                  <w:hideMark/>
                </w:tcPr>
                <w:p w14:paraId="7E4A9566" w14:textId="77777777" w:rsidR="003326E5" w:rsidRDefault="003326E5" w:rsidP="003326E5">
                  <w:pPr>
                    <w:pStyle w:val="TAL"/>
                  </w:pPr>
                  <w:r>
                    <w:t>Type A BWP adaptation with same numerology</w:t>
                  </w:r>
                </w:p>
              </w:tc>
              <w:tc>
                <w:tcPr>
                  <w:tcW w:w="2497" w:type="dxa"/>
                  <w:hideMark/>
                </w:tcPr>
                <w:p w14:paraId="0E526A8F" w14:textId="77777777" w:rsidR="003326E5" w:rsidRDefault="003326E5" w:rsidP="003326E5">
                  <w:pPr>
                    <w:pStyle w:val="TAL"/>
                  </w:pPr>
                  <w:r>
                    <w:t>1) Up to 2 UE-specific RRC configured DL BWPs per carrier</w:t>
                  </w:r>
                </w:p>
                <w:p w14:paraId="0ACEB736" w14:textId="77777777" w:rsidR="003326E5" w:rsidRDefault="003326E5" w:rsidP="003326E5">
                  <w:pPr>
                    <w:pStyle w:val="TAL"/>
                  </w:pPr>
                  <w:r>
                    <w:t>2) Up to 2 UE-specific RRC configured UL BWPs per carrier</w:t>
                  </w:r>
                </w:p>
                <w:p w14:paraId="37573C21" w14:textId="77777777" w:rsidR="003326E5" w:rsidRDefault="003326E5" w:rsidP="003326E5">
                  <w:pPr>
                    <w:pStyle w:val="TAL"/>
                  </w:pPr>
                  <w:r>
                    <w:t>3) Active BWP switching by DCI and timer</w:t>
                  </w:r>
                </w:p>
                <w:p w14:paraId="28AA8998" w14:textId="77777777" w:rsidR="003326E5" w:rsidRDefault="003326E5" w:rsidP="003326E5">
                  <w:pPr>
                    <w:pStyle w:val="TAL"/>
                  </w:pPr>
                  <w:r>
                    <w:t>4) Same numerology for all the UE-specific RRC configured BWPs per carrier</w:t>
                  </w:r>
                </w:p>
                <w:p w14:paraId="316D4A43" w14:textId="77777777" w:rsidR="003326E5" w:rsidRDefault="003326E5" w:rsidP="003326E5">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hideMark/>
                </w:tcPr>
                <w:p w14:paraId="48C6AF1A" w14:textId="77777777" w:rsidR="003326E5" w:rsidRDefault="003326E5" w:rsidP="003326E5">
                  <w:pPr>
                    <w:pStyle w:val="TAL"/>
                  </w:pPr>
                  <w:r>
                    <w:t>6-1</w:t>
                  </w:r>
                </w:p>
              </w:tc>
              <w:tc>
                <w:tcPr>
                  <w:tcW w:w="3388" w:type="dxa"/>
                  <w:hideMark/>
                </w:tcPr>
                <w:p w14:paraId="09384C38" w14:textId="77777777" w:rsidR="003326E5" w:rsidRDefault="003326E5" w:rsidP="003326E5">
                  <w:pPr>
                    <w:pStyle w:val="TAL"/>
                  </w:pPr>
                  <w:r>
                    <w:rPr>
                      <w:i/>
                    </w:rPr>
                    <w:t>upto2</w:t>
                  </w:r>
                  <w:r>
                    <w:t xml:space="preserve"> in </w:t>
                  </w:r>
                  <w:r>
                    <w:rPr>
                      <w:i/>
                    </w:rPr>
                    <w:t>bwp-SameNumerology</w:t>
                  </w:r>
                </w:p>
              </w:tc>
              <w:tc>
                <w:tcPr>
                  <w:tcW w:w="2988" w:type="dxa"/>
                  <w:hideMark/>
                </w:tcPr>
                <w:p w14:paraId="4FD0B6AB" w14:textId="77777777" w:rsidR="003326E5" w:rsidRDefault="003326E5" w:rsidP="003326E5">
                  <w:pPr>
                    <w:pStyle w:val="TAL"/>
                  </w:pPr>
                  <w:r>
                    <w:rPr>
                      <w:i/>
                    </w:rPr>
                    <w:t>BandNR</w:t>
                  </w:r>
                </w:p>
              </w:tc>
              <w:tc>
                <w:tcPr>
                  <w:tcW w:w="1416" w:type="dxa"/>
                  <w:hideMark/>
                </w:tcPr>
                <w:p w14:paraId="14FC8C0D" w14:textId="77777777" w:rsidR="003326E5" w:rsidRDefault="003326E5" w:rsidP="003326E5">
                  <w:pPr>
                    <w:pStyle w:val="TAL"/>
                  </w:pPr>
                  <w:r>
                    <w:t>n/a</w:t>
                  </w:r>
                </w:p>
              </w:tc>
              <w:tc>
                <w:tcPr>
                  <w:tcW w:w="1416" w:type="dxa"/>
                  <w:hideMark/>
                </w:tcPr>
                <w:p w14:paraId="37957E9A" w14:textId="77777777" w:rsidR="003326E5" w:rsidRDefault="003326E5" w:rsidP="003326E5">
                  <w:pPr>
                    <w:pStyle w:val="TAL"/>
                  </w:pPr>
                  <w:r>
                    <w:t>n/a</w:t>
                  </w:r>
                </w:p>
              </w:tc>
              <w:tc>
                <w:tcPr>
                  <w:tcW w:w="1857" w:type="dxa"/>
                </w:tcPr>
                <w:p w14:paraId="7D26B667" w14:textId="77777777" w:rsidR="003326E5" w:rsidRDefault="003326E5" w:rsidP="003326E5">
                  <w:pPr>
                    <w:pStyle w:val="TAL"/>
                  </w:pPr>
                </w:p>
              </w:tc>
              <w:tc>
                <w:tcPr>
                  <w:tcW w:w="1907" w:type="dxa"/>
                  <w:hideMark/>
                </w:tcPr>
                <w:p w14:paraId="5130932A" w14:textId="77777777" w:rsidR="003326E5" w:rsidRDefault="003326E5" w:rsidP="003326E5">
                  <w:pPr>
                    <w:pStyle w:val="TAL"/>
                  </w:pPr>
                  <w:r>
                    <w:t>Optional with capability signalling</w:t>
                  </w:r>
                </w:p>
              </w:tc>
            </w:tr>
            <w:tr w:rsidR="003326E5" w14:paraId="186CADAF" w14:textId="77777777" w:rsidTr="003326E5">
              <w:tc>
                <w:tcPr>
                  <w:tcW w:w="0" w:type="auto"/>
                  <w:vMerge/>
                  <w:vAlign w:val="center"/>
                  <w:hideMark/>
                </w:tcPr>
                <w:p w14:paraId="12809D7F" w14:textId="77777777" w:rsidR="003326E5" w:rsidRDefault="003326E5" w:rsidP="003326E5">
                  <w:pPr>
                    <w:spacing w:after="0"/>
                    <w:rPr>
                      <w:rFonts w:ascii="Arial" w:hAnsi="Arial"/>
                      <w:sz w:val="18"/>
                      <w:lang w:eastAsia="ja-JP"/>
                    </w:rPr>
                  </w:pPr>
                </w:p>
              </w:tc>
              <w:tc>
                <w:tcPr>
                  <w:tcW w:w="815" w:type="dxa"/>
                  <w:hideMark/>
                </w:tcPr>
                <w:p w14:paraId="6B26D099" w14:textId="77777777" w:rsidR="003326E5" w:rsidRDefault="003326E5" w:rsidP="003326E5">
                  <w:pPr>
                    <w:pStyle w:val="TAL"/>
                  </w:pPr>
                  <w:r>
                    <w:t>6-3</w:t>
                  </w:r>
                </w:p>
              </w:tc>
              <w:tc>
                <w:tcPr>
                  <w:tcW w:w="1957" w:type="dxa"/>
                  <w:hideMark/>
                </w:tcPr>
                <w:p w14:paraId="4B1D7804" w14:textId="77777777" w:rsidR="003326E5" w:rsidRDefault="003326E5" w:rsidP="003326E5">
                  <w:pPr>
                    <w:pStyle w:val="TAL"/>
                  </w:pPr>
                  <w:r>
                    <w:t>Type B BWP adaptation with same numerology</w:t>
                  </w:r>
                </w:p>
              </w:tc>
              <w:tc>
                <w:tcPr>
                  <w:tcW w:w="2497" w:type="dxa"/>
                  <w:hideMark/>
                </w:tcPr>
                <w:p w14:paraId="449203CD" w14:textId="77777777" w:rsidR="003326E5" w:rsidRDefault="003326E5" w:rsidP="003326E5">
                  <w:pPr>
                    <w:pStyle w:val="TAL"/>
                  </w:pPr>
                  <w:r>
                    <w:t>1) Up to 4 UE-specific RRC configured DL BWPs per carrier</w:t>
                  </w:r>
                </w:p>
                <w:p w14:paraId="30A89ADA" w14:textId="77777777" w:rsidR="003326E5" w:rsidRDefault="003326E5" w:rsidP="003326E5">
                  <w:pPr>
                    <w:pStyle w:val="TAL"/>
                  </w:pPr>
                  <w:r>
                    <w:t>2) Up to 4 UE-specific RRC configured UL BWPs per carrier</w:t>
                  </w:r>
                </w:p>
                <w:p w14:paraId="4F496CB2" w14:textId="77777777" w:rsidR="003326E5" w:rsidRDefault="003326E5" w:rsidP="003326E5">
                  <w:pPr>
                    <w:pStyle w:val="TAL"/>
                  </w:pPr>
                  <w:r>
                    <w:t>3) Active BWP switching by DCI and timer</w:t>
                  </w:r>
                </w:p>
                <w:p w14:paraId="4EDBB7CA" w14:textId="77777777" w:rsidR="003326E5" w:rsidRDefault="003326E5" w:rsidP="003326E5">
                  <w:pPr>
                    <w:pStyle w:val="TAL"/>
                  </w:pPr>
                  <w:r>
                    <w:t>4) Same numerology for all the UE-specific RRC configured BWPs per carrier</w:t>
                  </w:r>
                </w:p>
                <w:p w14:paraId="5E269307" w14:textId="77777777" w:rsidR="003326E5" w:rsidRDefault="003326E5" w:rsidP="003326E5">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hideMark/>
                </w:tcPr>
                <w:p w14:paraId="08E35ACC" w14:textId="77777777" w:rsidR="003326E5" w:rsidRDefault="003326E5" w:rsidP="003326E5">
                  <w:pPr>
                    <w:pStyle w:val="TAL"/>
                  </w:pPr>
                  <w:r>
                    <w:t>6-1</w:t>
                  </w:r>
                </w:p>
              </w:tc>
              <w:tc>
                <w:tcPr>
                  <w:tcW w:w="3388" w:type="dxa"/>
                  <w:hideMark/>
                </w:tcPr>
                <w:p w14:paraId="151F0321" w14:textId="77777777" w:rsidR="003326E5" w:rsidRDefault="003326E5" w:rsidP="003326E5">
                  <w:pPr>
                    <w:pStyle w:val="TAL"/>
                  </w:pPr>
                  <w:r>
                    <w:rPr>
                      <w:i/>
                    </w:rPr>
                    <w:t>upto4</w:t>
                  </w:r>
                  <w:r>
                    <w:t xml:space="preserve"> in </w:t>
                  </w:r>
                  <w:r>
                    <w:rPr>
                      <w:i/>
                    </w:rPr>
                    <w:t>bwp-SameNumerology</w:t>
                  </w:r>
                </w:p>
              </w:tc>
              <w:tc>
                <w:tcPr>
                  <w:tcW w:w="2988" w:type="dxa"/>
                  <w:hideMark/>
                </w:tcPr>
                <w:p w14:paraId="61C7B33F" w14:textId="77777777" w:rsidR="003326E5" w:rsidRDefault="003326E5" w:rsidP="003326E5">
                  <w:pPr>
                    <w:pStyle w:val="TAL"/>
                  </w:pPr>
                  <w:r>
                    <w:rPr>
                      <w:i/>
                    </w:rPr>
                    <w:t>BandNR</w:t>
                  </w:r>
                </w:p>
              </w:tc>
              <w:tc>
                <w:tcPr>
                  <w:tcW w:w="1416" w:type="dxa"/>
                  <w:hideMark/>
                </w:tcPr>
                <w:p w14:paraId="453462CF" w14:textId="77777777" w:rsidR="003326E5" w:rsidRDefault="003326E5" w:rsidP="003326E5">
                  <w:pPr>
                    <w:pStyle w:val="TAL"/>
                  </w:pPr>
                  <w:r>
                    <w:t>n/a</w:t>
                  </w:r>
                </w:p>
              </w:tc>
              <w:tc>
                <w:tcPr>
                  <w:tcW w:w="1416" w:type="dxa"/>
                  <w:hideMark/>
                </w:tcPr>
                <w:p w14:paraId="05BF80C2" w14:textId="77777777" w:rsidR="003326E5" w:rsidRDefault="003326E5" w:rsidP="003326E5">
                  <w:pPr>
                    <w:pStyle w:val="TAL"/>
                  </w:pPr>
                  <w:r>
                    <w:t>n/a</w:t>
                  </w:r>
                </w:p>
              </w:tc>
              <w:tc>
                <w:tcPr>
                  <w:tcW w:w="1857" w:type="dxa"/>
                </w:tcPr>
                <w:p w14:paraId="1EBB58FD" w14:textId="77777777" w:rsidR="003326E5" w:rsidRDefault="003326E5" w:rsidP="003326E5">
                  <w:pPr>
                    <w:pStyle w:val="TAL"/>
                  </w:pPr>
                </w:p>
              </w:tc>
              <w:tc>
                <w:tcPr>
                  <w:tcW w:w="1907" w:type="dxa"/>
                  <w:hideMark/>
                </w:tcPr>
                <w:p w14:paraId="14519277" w14:textId="77777777" w:rsidR="003326E5" w:rsidRDefault="003326E5" w:rsidP="003326E5">
                  <w:pPr>
                    <w:pStyle w:val="TAL"/>
                  </w:pPr>
                  <w:r>
                    <w:t>Optional with capability signalling</w:t>
                  </w:r>
                </w:p>
              </w:tc>
            </w:tr>
            <w:tr w:rsidR="003326E5" w14:paraId="619428C3" w14:textId="77777777" w:rsidTr="003326E5">
              <w:tc>
                <w:tcPr>
                  <w:tcW w:w="0" w:type="auto"/>
                  <w:vMerge/>
                  <w:vAlign w:val="center"/>
                  <w:hideMark/>
                </w:tcPr>
                <w:p w14:paraId="1C4FCCDF" w14:textId="77777777" w:rsidR="003326E5" w:rsidRDefault="003326E5" w:rsidP="003326E5">
                  <w:pPr>
                    <w:spacing w:after="0"/>
                    <w:rPr>
                      <w:rFonts w:ascii="Arial" w:hAnsi="Arial"/>
                      <w:sz w:val="18"/>
                      <w:lang w:eastAsia="ja-JP"/>
                    </w:rPr>
                  </w:pPr>
                </w:p>
              </w:tc>
              <w:tc>
                <w:tcPr>
                  <w:tcW w:w="815" w:type="dxa"/>
                  <w:hideMark/>
                </w:tcPr>
                <w:p w14:paraId="3C7346A0" w14:textId="77777777" w:rsidR="003326E5" w:rsidRDefault="003326E5" w:rsidP="003326E5">
                  <w:pPr>
                    <w:pStyle w:val="TAL"/>
                  </w:pPr>
                  <w:r>
                    <w:t>6-4</w:t>
                  </w:r>
                </w:p>
              </w:tc>
              <w:tc>
                <w:tcPr>
                  <w:tcW w:w="1957" w:type="dxa"/>
                  <w:hideMark/>
                </w:tcPr>
                <w:p w14:paraId="2D694A22" w14:textId="77777777" w:rsidR="003326E5" w:rsidRDefault="003326E5" w:rsidP="003326E5">
                  <w:pPr>
                    <w:pStyle w:val="TAL"/>
                  </w:pPr>
                  <w:r>
                    <w:t>BWP adaptation with different numerologies</w:t>
                  </w:r>
                </w:p>
              </w:tc>
              <w:tc>
                <w:tcPr>
                  <w:tcW w:w="2497" w:type="dxa"/>
                  <w:hideMark/>
                </w:tcPr>
                <w:p w14:paraId="3B4DC44E" w14:textId="77777777" w:rsidR="003326E5" w:rsidRDefault="003326E5" w:rsidP="003326E5">
                  <w:pPr>
                    <w:pStyle w:val="TAL"/>
                  </w:pPr>
                  <w:r>
                    <w:t>1) Up to 4 UE-specific RRC configured DL BWPs per carrier</w:t>
                  </w:r>
                </w:p>
                <w:p w14:paraId="3170C8E4" w14:textId="77777777" w:rsidR="003326E5" w:rsidRDefault="003326E5" w:rsidP="003326E5">
                  <w:pPr>
                    <w:pStyle w:val="TAL"/>
                  </w:pPr>
                  <w:r>
                    <w:t>2) Up to 4 UE-specific RRC configured UL BWPs per carrier</w:t>
                  </w:r>
                </w:p>
                <w:p w14:paraId="4ED7A386" w14:textId="77777777" w:rsidR="003326E5" w:rsidRDefault="003326E5" w:rsidP="003326E5">
                  <w:pPr>
                    <w:pStyle w:val="TAL"/>
                  </w:pPr>
                  <w:r>
                    <w:t>3) Active BWP switching by DCI and timer</w:t>
                  </w:r>
                </w:p>
                <w:p w14:paraId="41A93D92" w14:textId="77777777" w:rsidR="003326E5" w:rsidRDefault="003326E5" w:rsidP="003326E5">
                  <w:pPr>
                    <w:pStyle w:val="TAL"/>
                  </w:pPr>
                  <w:r>
                    <w:t>4) More than one numerologies for the UE-specific RRC configured BWPs per carrier</w:t>
                  </w:r>
                </w:p>
                <w:p w14:paraId="14ABE77A" w14:textId="77777777" w:rsidR="003326E5" w:rsidRDefault="003326E5" w:rsidP="003326E5">
                  <w:pPr>
                    <w:pStyle w:val="TAL"/>
                  </w:pPr>
                  <w:r>
                    <w:t>5) Same numerology between DL and UL per cell except for SUL at a given time</w:t>
                  </w:r>
                </w:p>
                <w:p w14:paraId="21DBFA34" w14:textId="77777777" w:rsidR="003326E5" w:rsidRDefault="003326E5" w:rsidP="003326E5">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5" w:type="dxa"/>
                  <w:hideMark/>
                </w:tcPr>
                <w:p w14:paraId="0F1A704A" w14:textId="77777777" w:rsidR="003326E5" w:rsidRDefault="003326E5" w:rsidP="003326E5">
                  <w:pPr>
                    <w:pStyle w:val="TAL"/>
                  </w:pPr>
                  <w:r>
                    <w:t>6-1</w:t>
                  </w:r>
                </w:p>
              </w:tc>
              <w:tc>
                <w:tcPr>
                  <w:tcW w:w="3388" w:type="dxa"/>
                  <w:hideMark/>
                </w:tcPr>
                <w:p w14:paraId="045280BB" w14:textId="77777777" w:rsidR="003326E5" w:rsidRDefault="003326E5" w:rsidP="003326E5">
                  <w:pPr>
                    <w:pStyle w:val="TAL"/>
                  </w:pPr>
                  <w:r>
                    <w:rPr>
                      <w:i/>
                    </w:rPr>
                    <w:t>upto4</w:t>
                  </w:r>
                  <w:r>
                    <w:t xml:space="preserve"> in </w:t>
                  </w:r>
                  <w:r>
                    <w:rPr>
                      <w:i/>
                    </w:rPr>
                    <w:t>bwp-DiffNumerology</w:t>
                  </w:r>
                </w:p>
              </w:tc>
              <w:tc>
                <w:tcPr>
                  <w:tcW w:w="2988" w:type="dxa"/>
                  <w:hideMark/>
                </w:tcPr>
                <w:p w14:paraId="6C214219" w14:textId="77777777" w:rsidR="003326E5" w:rsidRDefault="003326E5" w:rsidP="003326E5">
                  <w:pPr>
                    <w:pStyle w:val="TAL"/>
                  </w:pPr>
                  <w:r>
                    <w:rPr>
                      <w:i/>
                    </w:rPr>
                    <w:t>BandNR</w:t>
                  </w:r>
                </w:p>
              </w:tc>
              <w:tc>
                <w:tcPr>
                  <w:tcW w:w="1416" w:type="dxa"/>
                  <w:hideMark/>
                </w:tcPr>
                <w:p w14:paraId="52F1B3D0" w14:textId="77777777" w:rsidR="003326E5" w:rsidRDefault="003326E5" w:rsidP="003326E5">
                  <w:pPr>
                    <w:pStyle w:val="TAL"/>
                  </w:pPr>
                  <w:r>
                    <w:t>n/a</w:t>
                  </w:r>
                </w:p>
              </w:tc>
              <w:tc>
                <w:tcPr>
                  <w:tcW w:w="1416" w:type="dxa"/>
                  <w:hideMark/>
                </w:tcPr>
                <w:p w14:paraId="1D8C20C9" w14:textId="77777777" w:rsidR="003326E5" w:rsidRDefault="003326E5" w:rsidP="003326E5">
                  <w:pPr>
                    <w:pStyle w:val="TAL"/>
                  </w:pPr>
                  <w:r>
                    <w:t>n/a</w:t>
                  </w:r>
                </w:p>
              </w:tc>
              <w:tc>
                <w:tcPr>
                  <w:tcW w:w="1857" w:type="dxa"/>
                </w:tcPr>
                <w:p w14:paraId="23D279EA" w14:textId="77777777" w:rsidR="003326E5" w:rsidRDefault="003326E5" w:rsidP="003326E5">
                  <w:pPr>
                    <w:pStyle w:val="TAL"/>
                  </w:pPr>
                </w:p>
              </w:tc>
              <w:tc>
                <w:tcPr>
                  <w:tcW w:w="1907" w:type="dxa"/>
                  <w:hideMark/>
                </w:tcPr>
                <w:p w14:paraId="5C9BD701" w14:textId="77777777" w:rsidR="003326E5" w:rsidRDefault="003326E5" w:rsidP="003326E5">
                  <w:pPr>
                    <w:pStyle w:val="TAL"/>
                  </w:pPr>
                  <w:r>
                    <w:t>Optional with capability signalling</w:t>
                  </w:r>
                </w:p>
              </w:tc>
            </w:tr>
            <w:tr w:rsidR="003326E5" w14:paraId="28951415" w14:textId="77777777" w:rsidTr="003326E5">
              <w:tc>
                <w:tcPr>
                  <w:tcW w:w="0" w:type="auto"/>
                  <w:vMerge/>
                  <w:vAlign w:val="center"/>
                  <w:hideMark/>
                </w:tcPr>
                <w:p w14:paraId="0BECB428" w14:textId="77777777" w:rsidR="003326E5" w:rsidRDefault="003326E5" w:rsidP="003326E5">
                  <w:pPr>
                    <w:spacing w:after="0"/>
                    <w:rPr>
                      <w:rFonts w:ascii="Arial" w:hAnsi="Arial"/>
                      <w:sz w:val="18"/>
                      <w:lang w:eastAsia="ja-JP"/>
                    </w:rPr>
                  </w:pPr>
                </w:p>
              </w:tc>
              <w:tc>
                <w:tcPr>
                  <w:tcW w:w="815" w:type="dxa"/>
                  <w:hideMark/>
                </w:tcPr>
                <w:p w14:paraId="12C82AEA" w14:textId="77777777" w:rsidR="003326E5" w:rsidRDefault="003326E5" w:rsidP="003326E5">
                  <w:pPr>
                    <w:pStyle w:val="TAL"/>
                  </w:pPr>
                  <w:r>
                    <w:t>6-5</w:t>
                  </w:r>
                </w:p>
              </w:tc>
              <w:tc>
                <w:tcPr>
                  <w:tcW w:w="1957" w:type="dxa"/>
                  <w:hideMark/>
                </w:tcPr>
                <w:p w14:paraId="24231852" w14:textId="77777777" w:rsidR="003326E5" w:rsidRDefault="003326E5" w:rsidP="003326E5">
                  <w:pPr>
                    <w:pStyle w:val="TAL"/>
                  </w:pPr>
                  <w:r>
                    <w:t>Basic DL NR-NR CA operation</w:t>
                  </w:r>
                </w:p>
              </w:tc>
              <w:tc>
                <w:tcPr>
                  <w:tcW w:w="2497" w:type="dxa"/>
                  <w:hideMark/>
                </w:tcPr>
                <w:p w14:paraId="7168B5F0" w14:textId="77777777" w:rsidR="003326E5" w:rsidRDefault="003326E5" w:rsidP="003326E5">
                  <w:pPr>
                    <w:pStyle w:val="TAL"/>
                  </w:pPr>
                  <w:r>
                    <w:t xml:space="preserve">1) Up to16 DL carriers </w:t>
                  </w:r>
                </w:p>
                <w:p w14:paraId="5918A236" w14:textId="77777777" w:rsidR="003326E5" w:rsidRDefault="003326E5" w:rsidP="003326E5">
                  <w:pPr>
                    <w:pStyle w:val="TAL"/>
                  </w:pPr>
                  <w:r>
                    <w:t>2) Same numerology across carrier for data/control channel at a given time</w:t>
                  </w:r>
                </w:p>
              </w:tc>
              <w:tc>
                <w:tcPr>
                  <w:tcW w:w="1325" w:type="dxa"/>
                </w:tcPr>
                <w:p w14:paraId="2113CC5C" w14:textId="77777777" w:rsidR="003326E5" w:rsidRDefault="003326E5" w:rsidP="003326E5">
                  <w:pPr>
                    <w:pStyle w:val="TAL"/>
                  </w:pPr>
                </w:p>
              </w:tc>
              <w:tc>
                <w:tcPr>
                  <w:tcW w:w="3388" w:type="dxa"/>
                  <w:hideMark/>
                </w:tcPr>
                <w:p w14:paraId="0F9397A1" w14:textId="77777777" w:rsidR="003326E5" w:rsidRDefault="003326E5" w:rsidP="003326E5">
                  <w:pPr>
                    <w:pStyle w:val="TAL"/>
                    <w:rPr>
                      <w:i/>
                    </w:rPr>
                  </w:pPr>
                  <w:r>
                    <w:rPr>
                      <w:i/>
                    </w:rPr>
                    <w:t>supportedBandCombinationList</w:t>
                  </w:r>
                </w:p>
              </w:tc>
              <w:tc>
                <w:tcPr>
                  <w:tcW w:w="2988" w:type="dxa"/>
                  <w:hideMark/>
                </w:tcPr>
                <w:p w14:paraId="2C2CA36D" w14:textId="77777777" w:rsidR="003326E5" w:rsidRDefault="003326E5" w:rsidP="003326E5">
                  <w:pPr>
                    <w:pStyle w:val="TAL"/>
                    <w:rPr>
                      <w:i/>
                    </w:rPr>
                  </w:pPr>
                  <w:r>
                    <w:rPr>
                      <w:i/>
                    </w:rPr>
                    <w:t>RF-Parameters</w:t>
                  </w:r>
                </w:p>
              </w:tc>
              <w:tc>
                <w:tcPr>
                  <w:tcW w:w="1416" w:type="dxa"/>
                  <w:hideMark/>
                </w:tcPr>
                <w:p w14:paraId="47865F51" w14:textId="77777777" w:rsidR="003326E5" w:rsidRDefault="003326E5" w:rsidP="003326E5">
                  <w:pPr>
                    <w:pStyle w:val="TAL"/>
                  </w:pPr>
                  <w:r>
                    <w:t>n/a</w:t>
                  </w:r>
                </w:p>
              </w:tc>
              <w:tc>
                <w:tcPr>
                  <w:tcW w:w="1416" w:type="dxa"/>
                  <w:hideMark/>
                </w:tcPr>
                <w:p w14:paraId="090394A6" w14:textId="77777777" w:rsidR="003326E5" w:rsidRDefault="003326E5" w:rsidP="003326E5">
                  <w:pPr>
                    <w:pStyle w:val="TAL"/>
                  </w:pPr>
                  <w:r>
                    <w:t>n/a</w:t>
                  </w:r>
                </w:p>
              </w:tc>
              <w:tc>
                <w:tcPr>
                  <w:tcW w:w="1857" w:type="dxa"/>
                  <w:hideMark/>
                </w:tcPr>
                <w:p w14:paraId="696A5F32" w14:textId="77777777" w:rsidR="003326E5" w:rsidRDefault="003326E5" w:rsidP="003326E5">
                  <w:pPr>
                    <w:pStyle w:val="TAL"/>
                  </w:pPr>
                  <w:r>
                    <w:t>This is conditioned on the support of DL CA band combination(s).</w:t>
                  </w:r>
                </w:p>
              </w:tc>
              <w:tc>
                <w:tcPr>
                  <w:tcW w:w="1907" w:type="dxa"/>
                  <w:hideMark/>
                </w:tcPr>
                <w:p w14:paraId="30D2F887" w14:textId="77777777" w:rsidR="003326E5" w:rsidRDefault="003326E5" w:rsidP="003326E5">
                  <w:pPr>
                    <w:pStyle w:val="TAL"/>
                  </w:pPr>
                  <w:r>
                    <w:t>Optional with capability signalling</w:t>
                  </w:r>
                </w:p>
              </w:tc>
            </w:tr>
          </w:tbl>
          <w:p w14:paraId="4410D62A" w14:textId="7A3A0030" w:rsidR="00F161F7" w:rsidRDefault="00F161F7">
            <w:pPr>
              <w:pStyle w:val="TAL"/>
              <w:rPr>
                <w:lang w:eastAsia="ja-JP"/>
              </w:rPr>
            </w:pPr>
          </w:p>
        </w:tc>
        <w:tc>
          <w:tcPr>
            <w:tcW w:w="815" w:type="dxa"/>
          </w:tcPr>
          <w:p w14:paraId="54F4D5FC" w14:textId="491D0AF4" w:rsidR="00F161F7" w:rsidRDefault="00F161F7">
            <w:pPr>
              <w:pStyle w:val="TAL"/>
            </w:pPr>
          </w:p>
        </w:tc>
        <w:tc>
          <w:tcPr>
            <w:tcW w:w="1957" w:type="dxa"/>
          </w:tcPr>
          <w:p w14:paraId="4FC1FE63" w14:textId="7035557A" w:rsidR="00F161F7" w:rsidRDefault="00F161F7">
            <w:pPr>
              <w:pStyle w:val="TAL"/>
            </w:pPr>
          </w:p>
        </w:tc>
        <w:tc>
          <w:tcPr>
            <w:tcW w:w="2497" w:type="dxa"/>
          </w:tcPr>
          <w:p w14:paraId="10EED286" w14:textId="714E9EF7" w:rsidR="00F161F7" w:rsidRDefault="00F161F7">
            <w:pPr>
              <w:pStyle w:val="TAL"/>
            </w:pPr>
          </w:p>
        </w:tc>
        <w:tc>
          <w:tcPr>
            <w:tcW w:w="1325" w:type="dxa"/>
          </w:tcPr>
          <w:p w14:paraId="350F2AA8" w14:textId="77777777" w:rsidR="00F161F7" w:rsidRDefault="00F161F7">
            <w:pPr>
              <w:pStyle w:val="TAL"/>
            </w:pPr>
          </w:p>
        </w:tc>
        <w:tc>
          <w:tcPr>
            <w:tcW w:w="3388" w:type="dxa"/>
          </w:tcPr>
          <w:p w14:paraId="21E44FEA" w14:textId="126C7807" w:rsidR="00F161F7" w:rsidRDefault="00F161F7">
            <w:pPr>
              <w:pStyle w:val="TAL"/>
            </w:pPr>
          </w:p>
        </w:tc>
        <w:tc>
          <w:tcPr>
            <w:tcW w:w="2988" w:type="dxa"/>
          </w:tcPr>
          <w:p w14:paraId="4EDA9887" w14:textId="75106E82" w:rsidR="00F161F7" w:rsidRDefault="00F161F7">
            <w:pPr>
              <w:pStyle w:val="TAL"/>
            </w:pPr>
          </w:p>
        </w:tc>
        <w:tc>
          <w:tcPr>
            <w:tcW w:w="1416" w:type="dxa"/>
          </w:tcPr>
          <w:p w14:paraId="331A48B0" w14:textId="3B382C83" w:rsidR="00F161F7" w:rsidRDefault="00F161F7">
            <w:pPr>
              <w:pStyle w:val="TAL"/>
            </w:pPr>
          </w:p>
        </w:tc>
        <w:tc>
          <w:tcPr>
            <w:tcW w:w="1416" w:type="dxa"/>
          </w:tcPr>
          <w:p w14:paraId="12635305" w14:textId="3D5D3146" w:rsidR="00F161F7" w:rsidRDefault="00F161F7">
            <w:pPr>
              <w:pStyle w:val="TAL"/>
            </w:pPr>
          </w:p>
        </w:tc>
        <w:tc>
          <w:tcPr>
            <w:tcW w:w="1857" w:type="dxa"/>
          </w:tcPr>
          <w:p w14:paraId="37CCE48B" w14:textId="79A4ABBC" w:rsidR="00F161F7" w:rsidRDefault="00F161F7">
            <w:pPr>
              <w:pStyle w:val="TAL"/>
            </w:pPr>
          </w:p>
        </w:tc>
        <w:tc>
          <w:tcPr>
            <w:tcW w:w="1907" w:type="dxa"/>
          </w:tcPr>
          <w:p w14:paraId="4A687778" w14:textId="1DF97DA1" w:rsidR="00F161F7" w:rsidRDefault="00F161F7">
            <w:pPr>
              <w:pStyle w:val="TAL"/>
            </w:pPr>
          </w:p>
        </w:tc>
      </w:tr>
      <w:tr w:rsidR="00F161F7" w14:paraId="716F5127" w14:textId="77777777" w:rsidTr="003326E5">
        <w:tc>
          <w:tcPr>
            <w:tcW w:w="0" w:type="auto"/>
            <w:vMerge/>
            <w:vAlign w:val="center"/>
          </w:tcPr>
          <w:p w14:paraId="60646640" w14:textId="77777777" w:rsidR="00F161F7" w:rsidRDefault="00F161F7">
            <w:pPr>
              <w:spacing w:after="0"/>
              <w:rPr>
                <w:rFonts w:ascii="Arial" w:hAnsi="Arial"/>
                <w:sz w:val="18"/>
                <w:lang w:eastAsia="ja-JP"/>
              </w:rPr>
            </w:pPr>
          </w:p>
        </w:tc>
        <w:tc>
          <w:tcPr>
            <w:tcW w:w="815" w:type="dxa"/>
          </w:tcPr>
          <w:p w14:paraId="06B389E2" w14:textId="2EDF5733" w:rsidR="00F161F7" w:rsidRDefault="00F161F7">
            <w:pPr>
              <w:pStyle w:val="TAL"/>
            </w:pPr>
          </w:p>
        </w:tc>
        <w:tc>
          <w:tcPr>
            <w:tcW w:w="1957" w:type="dxa"/>
          </w:tcPr>
          <w:p w14:paraId="30BD5468" w14:textId="3D2E28C8" w:rsidR="00F161F7" w:rsidRDefault="00F161F7">
            <w:pPr>
              <w:pStyle w:val="TAL"/>
            </w:pPr>
          </w:p>
        </w:tc>
        <w:tc>
          <w:tcPr>
            <w:tcW w:w="2497" w:type="dxa"/>
          </w:tcPr>
          <w:p w14:paraId="6A5BE130" w14:textId="5D7DC652" w:rsidR="00F161F7" w:rsidRDefault="00F161F7">
            <w:pPr>
              <w:pStyle w:val="TAL"/>
            </w:pPr>
          </w:p>
        </w:tc>
        <w:tc>
          <w:tcPr>
            <w:tcW w:w="1325" w:type="dxa"/>
          </w:tcPr>
          <w:p w14:paraId="61DACC3F" w14:textId="35CEE6EC" w:rsidR="00F161F7" w:rsidRDefault="00F161F7">
            <w:pPr>
              <w:pStyle w:val="TAL"/>
            </w:pPr>
          </w:p>
        </w:tc>
        <w:tc>
          <w:tcPr>
            <w:tcW w:w="3388" w:type="dxa"/>
          </w:tcPr>
          <w:p w14:paraId="21DA769D" w14:textId="797FC5A9" w:rsidR="00F161F7" w:rsidRDefault="00F161F7">
            <w:pPr>
              <w:pStyle w:val="TAL"/>
              <w:rPr>
                <w:i/>
              </w:rPr>
            </w:pPr>
          </w:p>
        </w:tc>
        <w:tc>
          <w:tcPr>
            <w:tcW w:w="2988" w:type="dxa"/>
          </w:tcPr>
          <w:p w14:paraId="550523D3" w14:textId="01F39AA1" w:rsidR="00F161F7" w:rsidRDefault="00F161F7">
            <w:pPr>
              <w:pStyle w:val="TAL"/>
              <w:rPr>
                <w:i/>
              </w:rPr>
            </w:pPr>
          </w:p>
        </w:tc>
        <w:tc>
          <w:tcPr>
            <w:tcW w:w="1416" w:type="dxa"/>
          </w:tcPr>
          <w:p w14:paraId="413C37BC" w14:textId="3720D762" w:rsidR="00F161F7" w:rsidRDefault="00F161F7">
            <w:pPr>
              <w:pStyle w:val="TAL"/>
            </w:pPr>
          </w:p>
        </w:tc>
        <w:tc>
          <w:tcPr>
            <w:tcW w:w="1416" w:type="dxa"/>
          </w:tcPr>
          <w:p w14:paraId="3E32F838" w14:textId="0392F07F" w:rsidR="00F161F7" w:rsidRDefault="00F161F7">
            <w:pPr>
              <w:pStyle w:val="TAL"/>
            </w:pPr>
          </w:p>
        </w:tc>
        <w:tc>
          <w:tcPr>
            <w:tcW w:w="1857" w:type="dxa"/>
          </w:tcPr>
          <w:p w14:paraId="44695CC7" w14:textId="3A485288" w:rsidR="00F161F7" w:rsidRDefault="00F161F7">
            <w:pPr>
              <w:pStyle w:val="TAL"/>
            </w:pPr>
          </w:p>
        </w:tc>
        <w:tc>
          <w:tcPr>
            <w:tcW w:w="1907" w:type="dxa"/>
          </w:tcPr>
          <w:p w14:paraId="19190F5E" w14:textId="1E263191" w:rsidR="00F161F7" w:rsidRDefault="00F161F7">
            <w:pPr>
              <w:pStyle w:val="TAL"/>
            </w:pPr>
          </w:p>
        </w:tc>
      </w:tr>
      <w:tr w:rsidR="00F161F7" w14:paraId="12B46654" w14:textId="77777777" w:rsidTr="003326E5">
        <w:tc>
          <w:tcPr>
            <w:tcW w:w="0" w:type="auto"/>
            <w:vMerge/>
            <w:vAlign w:val="center"/>
          </w:tcPr>
          <w:p w14:paraId="5689345C" w14:textId="77777777" w:rsidR="00F161F7" w:rsidRDefault="00F161F7">
            <w:pPr>
              <w:spacing w:after="0"/>
              <w:rPr>
                <w:rFonts w:ascii="Arial" w:hAnsi="Arial"/>
                <w:sz w:val="18"/>
                <w:lang w:eastAsia="ja-JP"/>
              </w:rPr>
            </w:pPr>
          </w:p>
        </w:tc>
        <w:tc>
          <w:tcPr>
            <w:tcW w:w="815" w:type="dxa"/>
          </w:tcPr>
          <w:p w14:paraId="68AA9C8A" w14:textId="5B26A647" w:rsidR="00F161F7" w:rsidRDefault="00F161F7">
            <w:pPr>
              <w:pStyle w:val="TAL"/>
            </w:pPr>
          </w:p>
        </w:tc>
        <w:tc>
          <w:tcPr>
            <w:tcW w:w="1957" w:type="dxa"/>
          </w:tcPr>
          <w:p w14:paraId="74444248" w14:textId="534D64F3" w:rsidR="00F161F7" w:rsidRDefault="00F161F7">
            <w:pPr>
              <w:pStyle w:val="TAL"/>
            </w:pPr>
          </w:p>
        </w:tc>
        <w:tc>
          <w:tcPr>
            <w:tcW w:w="2497" w:type="dxa"/>
          </w:tcPr>
          <w:p w14:paraId="18C793C0" w14:textId="544AC3FB" w:rsidR="00F161F7" w:rsidRDefault="00F161F7">
            <w:pPr>
              <w:pStyle w:val="TAL"/>
            </w:pPr>
          </w:p>
        </w:tc>
        <w:tc>
          <w:tcPr>
            <w:tcW w:w="1325" w:type="dxa"/>
          </w:tcPr>
          <w:p w14:paraId="3B7BF0A3" w14:textId="499407DA" w:rsidR="00F161F7" w:rsidRDefault="00F161F7">
            <w:pPr>
              <w:pStyle w:val="TAL"/>
            </w:pPr>
          </w:p>
        </w:tc>
        <w:tc>
          <w:tcPr>
            <w:tcW w:w="3388" w:type="dxa"/>
          </w:tcPr>
          <w:p w14:paraId="1CCB666C" w14:textId="185680B3" w:rsidR="00F161F7" w:rsidRDefault="00F161F7">
            <w:pPr>
              <w:pStyle w:val="TAL"/>
            </w:pPr>
          </w:p>
        </w:tc>
        <w:tc>
          <w:tcPr>
            <w:tcW w:w="2988" w:type="dxa"/>
          </w:tcPr>
          <w:p w14:paraId="42250278" w14:textId="15D14526" w:rsidR="00F161F7" w:rsidRDefault="00F161F7">
            <w:pPr>
              <w:pStyle w:val="TAL"/>
            </w:pPr>
          </w:p>
        </w:tc>
        <w:tc>
          <w:tcPr>
            <w:tcW w:w="1416" w:type="dxa"/>
          </w:tcPr>
          <w:p w14:paraId="20DC8924" w14:textId="38CC6F29" w:rsidR="00F161F7" w:rsidRDefault="00F161F7">
            <w:pPr>
              <w:pStyle w:val="TAL"/>
            </w:pPr>
          </w:p>
        </w:tc>
        <w:tc>
          <w:tcPr>
            <w:tcW w:w="1416" w:type="dxa"/>
          </w:tcPr>
          <w:p w14:paraId="4785F1DC" w14:textId="14A92A67" w:rsidR="00F161F7" w:rsidRDefault="00F161F7">
            <w:pPr>
              <w:pStyle w:val="TAL"/>
            </w:pPr>
          </w:p>
        </w:tc>
        <w:tc>
          <w:tcPr>
            <w:tcW w:w="1857" w:type="dxa"/>
          </w:tcPr>
          <w:p w14:paraId="789C5F35" w14:textId="77777777" w:rsidR="00F161F7" w:rsidRDefault="00F161F7">
            <w:pPr>
              <w:pStyle w:val="TAL"/>
            </w:pPr>
          </w:p>
        </w:tc>
        <w:tc>
          <w:tcPr>
            <w:tcW w:w="1907" w:type="dxa"/>
          </w:tcPr>
          <w:p w14:paraId="21FD6FBD" w14:textId="49211180" w:rsidR="00F161F7" w:rsidRDefault="00F161F7">
            <w:pPr>
              <w:pStyle w:val="TAL"/>
            </w:pPr>
          </w:p>
        </w:tc>
      </w:tr>
      <w:tr w:rsidR="00F161F7" w14:paraId="25E150DB" w14:textId="77777777" w:rsidTr="003326E5">
        <w:tc>
          <w:tcPr>
            <w:tcW w:w="0" w:type="auto"/>
            <w:vMerge/>
            <w:vAlign w:val="center"/>
          </w:tcPr>
          <w:p w14:paraId="2DC64EA0" w14:textId="77777777" w:rsidR="00F161F7" w:rsidRDefault="00F161F7">
            <w:pPr>
              <w:spacing w:after="0"/>
              <w:rPr>
                <w:rFonts w:ascii="Arial" w:hAnsi="Arial"/>
                <w:sz w:val="18"/>
                <w:lang w:eastAsia="ja-JP"/>
              </w:rPr>
            </w:pPr>
          </w:p>
        </w:tc>
        <w:tc>
          <w:tcPr>
            <w:tcW w:w="815" w:type="dxa"/>
          </w:tcPr>
          <w:p w14:paraId="2BC32D1D" w14:textId="14056568" w:rsidR="00F161F7" w:rsidRDefault="00F161F7">
            <w:pPr>
              <w:pStyle w:val="TAL"/>
            </w:pPr>
          </w:p>
        </w:tc>
        <w:tc>
          <w:tcPr>
            <w:tcW w:w="1957" w:type="dxa"/>
          </w:tcPr>
          <w:p w14:paraId="79A674F8" w14:textId="5F5D2947" w:rsidR="00F161F7" w:rsidRDefault="00F161F7">
            <w:pPr>
              <w:pStyle w:val="TAL"/>
            </w:pPr>
          </w:p>
        </w:tc>
        <w:tc>
          <w:tcPr>
            <w:tcW w:w="2497" w:type="dxa"/>
          </w:tcPr>
          <w:p w14:paraId="5D74205A" w14:textId="64CB1E7A" w:rsidR="00F161F7" w:rsidRDefault="00F161F7">
            <w:pPr>
              <w:pStyle w:val="TAL"/>
            </w:pPr>
          </w:p>
        </w:tc>
        <w:tc>
          <w:tcPr>
            <w:tcW w:w="1325" w:type="dxa"/>
          </w:tcPr>
          <w:p w14:paraId="4B0A0A3D" w14:textId="42B68084" w:rsidR="00F161F7" w:rsidRDefault="00F161F7">
            <w:pPr>
              <w:pStyle w:val="TAL"/>
            </w:pPr>
          </w:p>
        </w:tc>
        <w:tc>
          <w:tcPr>
            <w:tcW w:w="3388" w:type="dxa"/>
          </w:tcPr>
          <w:p w14:paraId="5B37B56D" w14:textId="6A3D0A06" w:rsidR="00F161F7" w:rsidRDefault="00F161F7">
            <w:pPr>
              <w:pStyle w:val="TAL"/>
            </w:pPr>
          </w:p>
        </w:tc>
        <w:tc>
          <w:tcPr>
            <w:tcW w:w="2988" w:type="dxa"/>
          </w:tcPr>
          <w:p w14:paraId="03380CB0" w14:textId="598F51AC" w:rsidR="00F161F7" w:rsidRDefault="00F161F7">
            <w:pPr>
              <w:pStyle w:val="TAL"/>
            </w:pPr>
          </w:p>
        </w:tc>
        <w:tc>
          <w:tcPr>
            <w:tcW w:w="1416" w:type="dxa"/>
          </w:tcPr>
          <w:p w14:paraId="184B799B" w14:textId="7CD6DAA8" w:rsidR="00F161F7" w:rsidRDefault="00F161F7">
            <w:pPr>
              <w:pStyle w:val="TAL"/>
            </w:pPr>
          </w:p>
        </w:tc>
        <w:tc>
          <w:tcPr>
            <w:tcW w:w="1416" w:type="dxa"/>
          </w:tcPr>
          <w:p w14:paraId="2284F599" w14:textId="63CE4FC3" w:rsidR="00F161F7" w:rsidRDefault="00F161F7">
            <w:pPr>
              <w:pStyle w:val="TAL"/>
            </w:pPr>
          </w:p>
        </w:tc>
        <w:tc>
          <w:tcPr>
            <w:tcW w:w="1857" w:type="dxa"/>
          </w:tcPr>
          <w:p w14:paraId="61CEA13B" w14:textId="77777777" w:rsidR="00F161F7" w:rsidRDefault="00F161F7">
            <w:pPr>
              <w:pStyle w:val="TAL"/>
            </w:pPr>
          </w:p>
        </w:tc>
        <w:tc>
          <w:tcPr>
            <w:tcW w:w="1907" w:type="dxa"/>
          </w:tcPr>
          <w:p w14:paraId="4F0C4C8B" w14:textId="74C5D020" w:rsidR="00F161F7" w:rsidRDefault="00F161F7">
            <w:pPr>
              <w:pStyle w:val="TAL"/>
            </w:pPr>
          </w:p>
        </w:tc>
      </w:tr>
      <w:tr w:rsidR="00F161F7" w14:paraId="75FAB0CE" w14:textId="77777777" w:rsidTr="003326E5">
        <w:tc>
          <w:tcPr>
            <w:tcW w:w="0" w:type="auto"/>
            <w:vMerge/>
            <w:vAlign w:val="center"/>
          </w:tcPr>
          <w:p w14:paraId="4FE7ABA9" w14:textId="77777777" w:rsidR="00F161F7" w:rsidRDefault="00F161F7">
            <w:pPr>
              <w:spacing w:after="0"/>
              <w:rPr>
                <w:rFonts w:ascii="Arial" w:hAnsi="Arial"/>
                <w:sz w:val="18"/>
                <w:lang w:eastAsia="ja-JP"/>
              </w:rPr>
            </w:pPr>
          </w:p>
        </w:tc>
        <w:tc>
          <w:tcPr>
            <w:tcW w:w="815" w:type="dxa"/>
          </w:tcPr>
          <w:p w14:paraId="05B164E4" w14:textId="294FD4E9" w:rsidR="00F161F7" w:rsidRDefault="00F161F7">
            <w:pPr>
              <w:pStyle w:val="TAL"/>
            </w:pPr>
          </w:p>
        </w:tc>
        <w:tc>
          <w:tcPr>
            <w:tcW w:w="1957" w:type="dxa"/>
          </w:tcPr>
          <w:p w14:paraId="017820ED" w14:textId="1A4D7A0C" w:rsidR="00F161F7" w:rsidRDefault="00F161F7">
            <w:pPr>
              <w:pStyle w:val="TAL"/>
            </w:pPr>
          </w:p>
        </w:tc>
        <w:tc>
          <w:tcPr>
            <w:tcW w:w="2497" w:type="dxa"/>
          </w:tcPr>
          <w:p w14:paraId="385BBD89" w14:textId="576D61CA" w:rsidR="00F161F7" w:rsidRDefault="00F161F7">
            <w:pPr>
              <w:pStyle w:val="TAL"/>
            </w:pPr>
          </w:p>
        </w:tc>
        <w:tc>
          <w:tcPr>
            <w:tcW w:w="1325" w:type="dxa"/>
          </w:tcPr>
          <w:p w14:paraId="3282EFB6" w14:textId="20A70FDC" w:rsidR="00F161F7" w:rsidRDefault="00F161F7">
            <w:pPr>
              <w:pStyle w:val="TAL"/>
            </w:pPr>
          </w:p>
        </w:tc>
        <w:tc>
          <w:tcPr>
            <w:tcW w:w="3388" w:type="dxa"/>
          </w:tcPr>
          <w:p w14:paraId="6432E2C5" w14:textId="7DAAE884" w:rsidR="00F161F7" w:rsidRDefault="00F161F7">
            <w:pPr>
              <w:pStyle w:val="TAL"/>
            </w:pPr>
          </w:p>
        </w:tc>
        <w:tc>
          <w:tcPr>
            <w:tcW w:w="2988" w:type="dxa"/>
          </w:tcPr>
          <w:p w14:paraId="0F328E9D" w14:textId="6DE8239B" w:rsidR="00F161F7" w:rsidRDefault="00F161F7">
            <w:pPr>
              <w:pStyle w:val="TAL"/>
            </w:pPr>
          </w:p>
        </w:tc>
        <w:tc>
          <w:tcPr>
            <w:tcW w:w="1416" w:type="dxa"/>
          </w:tcPr>
          <w:p w14:paraId="2195D7DB" w14:textId="4CE45044" w:rsidR="00F161F7" w:rsidRDefault="00F161F7">
            <w:pPr>
              <w:pStyle w:val="TAL"/>
            </w:pPr>
          </w:p>
        </w:tc>
        <w:tc>
          <w:tcPr>
            <w:tcW w:w="1416" w:type="dxa"/>
          </w:tcPr>
          <w:p w14:paraId="0C86B697" w14:textId="38EBE606" w:rsidR="00F161F7" w:rsidRDefault="00F161F7">
            <w:pPr>
              <w:pStyle w:val="TAL"/>
            </w:pPr>
          </w:p>
        </w:tc>
        <w:tc>
          <w:tcPr>
            <w:tcW w:w="1857" w:type="dxa"/>
          </w:tcPr>
          <w:p w14:paraId="27178404" w14:textId="77777777" w:rsidR="00F161F7" w:rsidRDefault="00F161F7">
            <w:pPr>
              <w:pStyle w:val="TAL"/>
            </w:pPr>
          </w:p>
        </w:tc>
        <w:tc>
          <w:tcPr>
            <w:tcW w:w="1907" w:type="dxa"/>
          </w:tcPr>
          <w:p w14:paraId="4C305A08" w14:textId="2E100DBD" w:rsidR="00F161F7" w:rsidRDefault="00F161F7">
            <w:pPr>
              <w:pStyle w:val="TAL"/>
            </w:pPr>
          </w:p>
        </w:tc>
      </w:tr>
    </w:tbl>
    <w:p w14:paraId="3CCC6C63" w14:textId="0435F46D" w:rsidR="00F161F7" w:rsidRDefault="00F161F7" w:rsidP="00F161F7"/>
    <w:p w14:paraId="24EEA715" w14:textId="728C8DEB" w:rsidR="00F161F7" w:rsidRDefault="00F161F7" w:rsidP="00F161F7"/>
    <w:p w14:paraId="152D608B" w14:textId="7C9BBE5B" w:rsidR="00F161F7" w:rsidRDefault="00F161F7" w:rsidP="00F161F7">
      <w:pPr>
        <w:pStyle w:val="Heading1"/>
      </w:pPr>
      <w:r>
        <w:lastRenderedPageBreak/>
        <w:t>Annex B: Dormant BWP related feature groups in 38.822</w:t>
      </w:r>
      <w:r w:rsidR="003326E5">
        <w:t xml:space="preserve"> (R1-2007137)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326E5" w14:paraId="7EE00595" w14:textId="77777777" w:rsidTr="003326E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92D050"/>
            <w:hideMark/>
          </w:tcPr>
          <w:p w14:paraId="70FC5EF1"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shd w:val="clear" w:color="auto" w:fill="92D050"/>
            <w:hideMark/>
          </w:tcPr>
          <w:p w14:paraId="1CD32AF4"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shd w:val="clear" w:color="auto" w:fill="92D050"/>
            <w:hideMark/>
          </w:tcPr>
          <w:p w14:paraId="6C239F97"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SCell dormancy indication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92D050"/>
            <w:hideMark/>
          </w:tcPr>
          <w:p w14:paraId="2DAE529A" w14:textId="77777777" w:rsidR="003326E5" w:rsidRDefault="003326E5">
            <w:pPr>
              <w:pStyle w:val="TAL"/>
              <w:rPr>
                <w:rFonts w:asciiTheme="majorHAnsi" w:hAnsiTheme="majorHAnsi" w:cstheme="majorHAnsi"/>
                <w:szCs w:val="18"/>
              </w:rPr>
            </w:pPr>
            <w:r>
              <w:rPr>
                <w:rFonts w:asciiTheme="majorHAnsi" w:hAnsiTheme="majorHAnsi" w:cstheme="majorHAnsi"/>
                <w:szCs w:val="18"/>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shd w:val="clear" w:color="auto" w:fill="92D050"/>
          </w:tcPr>
          <w:p w14:paraId="13A3A368" w14:textId="77777777" w:rsidR="003326E5" w:rsidRDefault="003326E5">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6-5</w:t>
            </w:r>
          </w:p>
          <w:p w14:paraId="07C08EDF" w14:textId="77777777" w:rsidR="003326E5" w:rsidRDefault="003326E5">
            <w:pPr>
              <w:pStyle w:val="TAL"/>
              <w:rPr>
                <w:rFonts w:asciiTheme="majorHAnsi" w:eastAsiaTheme="minorEastAsia"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92D050"/>
            <w:hideMark/>
          </w:tcPr>
          <w:p w14:paraId="0135BC6F"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058AA361" w14:textId="77777777" w:rsidR="003326E5" w:rsidRDefault="003326E5">
            <w:pPr>
              <w:pStyle w:val="TAL"/>
              <w:rPr>
                <w:rFonts w:asciiTheme="majorHAnsi" w:hAnsiTheme="majorHAnsi" w:cstheme="majorHAnsi"/>
                <w:iCs/>
                <w:szCs w:val="18"/>
              </w:rPr>
            </w:pPr>
            <w:r>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92D050"/>
          </w:tcPr>
          <w:p w14:paraId="32AA646E" w14:textId="77777777" w:rsidR="003326E5" w:rsidRDefault="003326E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92D050"/>
            <w:hideMark/>
          </w:tcPr>
          <w:p w14:paraId="4DDBAB08"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92D050"/>
            <w:hideMark/>
          </w:tcPr>
          <w:p w14:paraId="7F3D2F00"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92D050"/>
            <w:hideMark/>
          </w:tcPr>
          <w:p w14:paraId="69411A78"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92D050"/>
            <w:hideMark/>
          </w:tcPr>
          <w:p w14:paraId="01A15706"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92D050"/>
          </w:tcPr>
          <w:p w14:paraId="25942419"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One dormant BWP and one non-dormant BWP is supported per carrier</w:t>
            </w:r>
          </w:p>
          <w:p w14:paraId="3F399F49" w14:textId="77777777" w:rsidR="003326E5" w:rsidRDefault="003326E5">
            <w:pPr>
              <w:pStyle w:val="TAL"/>
              <w:rPr>
                <w:rFonts w:asciiTheme="majorHAnsi" w:eastAsia="MS Mincho" w:hAnsiTheme="majorHAnsi" w:cstheme="majorHAnsi"/>
                <w:szCs w:val="18"/>
                <w:lang w:eastAsia="ja-JP"/>
              </w:rPr>
            </w:pPr>
          </w:p>
          <w:p w14:paraId="20A08E72" w14:textId="77777777" w:rsidR="003326E5" w:rsidRDefault="003326E5">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shd w:val="clear" w:color="auto" w:fill="92D050"/>
            <w:hideMark/>
          </w:tcPr>
          <w:p w14:paraId="4A85822E" w14:textId="77777777" w:rsidR="003326E5" w:rsidRDefault="003326E5">
            <w:pPr>
              <w:pStyle w:val="TAL"/>
              <w:rPr>
                <w:rFonts w:asciiTheme="majorHAnsi" w:eastAsiaTheme="minorEastAsia" w:hAnsiTheme="majorHAnsi" w:cstheme="majorHAnsi"/>
                <w:szCs w:val="18"/>
              </w:rPr>
            </w:pPr>
            <w:r>
              <w:rPr>
                <w:rFonts w:asciiTheme="majorHAnsi" w:hAnsiTheme="majorHAnsi" w:cstheme="majorHAnsi"/>
                <w:szCs w:val="18"/>
              </w:rPr>
              <w:t>Optional with capability signalling</w:t>
            </w:r>
          </w:p>
        </w:tc>
      </w:tr>
      <w:tr w:rsidR="003326E5" w14:paraId="304A9EA5" w14:textId="77777777" w:rsidTr="003326E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92D050"/>
            <w:hideMark/>
          </w:tcPr>
          <w:p w14:paraId="73433464"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shd w:val="clear" w:color="auto" w:fill="92D050"/>
            <w:hideMark/>
          </w:tcPr>
          <w:p w14:paraId="743DC58E"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shd w:val="clear" w:color="auto" w:fill="92D050"/>
            <w:hideMark/>
          </w:tcPr>
          <w:p w14:paraId="00D0C1B7"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SCell dormancy indication outside active time</w:t>
            </w:r>
          </w:p>
        </w:tc>
        <w:tc>
          <w:tcPr>
            <w:tcW w:w="6371" w:type="dxa"/>
            <w:tcBorders>
              <w:top w:val="single" w:sz="4" w:space="0" w:color="auto"/>
              <w:left w:val="single" w:sz="4" w:space="0" w:color="auto"/>
              <w:bottom w:val="single" w:sz="4" w:space="0" w:color="auto"/>
              <w:right w:val="single" w:sz="4" w:space="0" w:color="auto"/>
            </w:tcBorders>
            <w:shd w:val="clear" w:color="auto" w:fill="92D050"/>
            <w:hideMark/>
          </w:tcPr>
          <w:p w14:paraId="63A436F6" w14:textId="77777777" w:rsidR="003326E5" w:rsidRDefault="003326E5">
            <w:pPr>
              <w:pStyle w:val="TAL"/>
              <w:rPr>
                <w:rFonts w:asciiTheme="majorHAnsi" w:hAnsiTheme="majorHAnsi" w:cstheme="majorHAnsi"/>
                <w:szCs w:val="18"/>
              </w:rPr>
            </w:pPr>
            <w:r>
              <w:rPr>
                <w:rFonts w:asciiTheme="majorHAnsi" w:hAnsiTheme="majorHAnsi" w:cstheme="majorHAnsi"/>
                <w:szCs w:val="18"/>
              </w:rPr>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shd w:val="clear" w:color="auto" w:fill="92D050"/>
            <w:hideMark/>
          </w:tcPr>
          <w:p w14:paraId="2DDD5F06" w14:textId="77777777" w:rsidR="003326E5" w:rsidRDefault="003326E5">
            <w:pPr>
              <w:pStyle w:val="TAL"/>
              <w:rPr>
                <w:rFonts w:asciiTheme="majorHAnsi" w:hAnsiTheme="majorHAnsi" w:cstheme="majorHAnsi"/>
                <w:szCs w:val="18"/>
              </w:rPr>
            </w:pPr>
            <w:r>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shd w:val="clear" w:color="auto" w:fill="92D050"/>
            <w:hideMark/>
          </w:tcPr>
          <w:p w14:paraId="20933E73"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4BCF9060" w14:textId="77777777" w:rsidR="003326E5" w:rsidRDefault="003326E5">
            <w:pPr>
              <w:pStyle w:val="TAL"/>
              <w:rPr>
                <w:rFonts w:asciiTheme="majorHAnsi" w:hAnsiTheme="majorHAnsi" w:cstheme="majorHAnsi"/>
                <w:iCs/>
                <w:szCs w:val="18"/>
              </w:rPr>
            </w:pPr>
            <w:r>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92D050"/>
          </w:tcPr>
          <w:p w14:paraId="74E2A177" w14:textId="77777777" w:rsidR="003326E5" w:rsidRDefault="003326E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92D050"/>
            <w:hideMark/>
          </w:tcPr>
          <w:p w14:paraId="35595654"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92D050"/>
            <w:hideMark/>
          </w:tcPr>
          <w:p w14:paraId="3F51B759"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92D050"/>
            <w:hideMark/>
          </w:tcPr>
          <w:p w14:paraId="3CF39B36"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92D050"/>
            <w:hideMark/>
          </w:tcPr>
          <w:p w14:paraId="68964433"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92D050"/>
          </w:tcPr>
          <w:p w14:paraId="67C353B5" w14:textId="77777777" w:rsidR="003326E5" w:rsidRDefault="003326E5">
            <w:pPr>
              <w:pStyle w:val="TAL"/>
              <w:rPr>
                <w:rFonts w:asciiTheme="majorHAnsi" w:hAnsiTheme="majorHAnsi" w:cstheme="majorHAnsi"/>
                <w:szCs w:val="18"/>
                <w:lang w:eastAsia="ja-JP"/>
              </w:rPr>
            </w:pPr>
            <w:r>
              <w:rPr>
                <w:rFonts w:asciiTheme="majorHAnsi" w:hAnsiTheme="majorHAnsi" w:cstheme="majorHAnsi"/>
                <w:szCs w:val="18"/>
                <w:lang w:eastAsia="ja-JP"/>
              </w:rPr>
              <w:t>One dormant BWP and one non-dormant BWP is supported per carrier</w:t>
            </w:r>
          </w:p>
          <w:p w14:paraId="4B6F3845" w14:textId="77777777" w:rsidR="003326E5" w:rsidRDefault="003326E5">
            <w:pPr>
              <w:pStyle w:val="TAL"/>
              <w:rPr>
                <w:rFonts w:asciiTheme="majorHAnsi" w:eastAsia="MS Mincho" w:hAnsiTheme="majorHAnsi" w:cstheme="majorHAnsi"/>
                <w:szCs w:val="18"/>
                <w:lang w:eastAsia="ja-JP"/>
              </w:rPr>
            </w:pPr>
          </w:p>
          <w:p w14:paraId="04CE9007" w14:textId="77777777" w:rsidR="003326E5" w:rsidRDefault="003326E5">
            <w:pPr>
              <w:pStyle w:val="TAL"/>
              <w:rPr>
                <w:rFonts w:asciiTheme="majorHAnsi" w:eastAsiaTheme="minorEastAsia" w:hAnsiTheme="majorHAnsi" w:cstheme="majorHAnsi"/>
                <w:szCs w:val="18"/>
                <w:lang w:eastAsia="ja-JP"/>
              </w:rPr>
            </w:pPr>
            <w:r>
              <w:rPr>
                <w:rFonts w:asciiTheme="majorHAnsi" w:eastAsia="MS Mincho"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shd w:val="clear" w:color="auto" w:fill="92D050"/>
            <w:hideMark/>
          </w:tcPr>
          <w:p w14:paraId="037811AC" w14:textId="77777777" w:rsidR="003326E5" w:rsidRDefault="003326E5">
            <w:pPr>
              <w:pStyle w:val="TAL"/>
              <w:rPr>
                <w:rFonts w:asciiTheme="majorHAnsi" w:hAnsiTheme="majorHAnsi" w:cstheme="majorHAnsi"/>
                <w:szCs w:val="18"/>
              </w:rPr>
            </w:pPr>
            <w:r>
              <w:rPr>
                <w:rFonts w:asciiTheme="majorHAnsi" w:hAnsiTheme="majorHAnsi" w:cstheme="majorHAnsi"/>
                <w:szCs w:val="18"/>
              </w:rPr>
              <w:t>Optional with capability signalling</w:t>
            </w:r>
          </w:p>
        </w:tc>
      </w:tr>
    </w:tbl>
    <w:p w14:paraId="766EF330" w14:textId="77777777" w:rsidR="003326E5" w:rsidRPr="003326E5" w:rsidRDefault="003326E5" w:rsidP="003326E5"/>
    <w:sectPr w:rsidR="003326E5" w:rsidRPr="003326E5" w:rsidSect="003326E5">
      <w:footnotePr>
        <w:numRestart w:val="eachSect"/>
      </w:footnotePr>
      <w:pgSz w:w="23808" w:h="16840" w:orient="landscape" w:code="8"/>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C910E" w14:textId="77777777" w:rsidR="001576C4" w:rsidRDefault="001576C4">
      <w:r>
        <w:separator/>
      </w:r>
    </w:p>
  </w:endnote>
  <w:endnote w:type="continuationSeparator" w:id="0">
    <w:p w14:paraId="2A654448" w14:textId="77777777" w:rsidR="001576C4" w:rsidRDefault="001576C4">
      <w:r>
        <w:continuationSeparator/>
      </w:r>
    </w:p>
  </w:endnote>
  <w:endnote w:type="continuationNotice" w:id="1">
    <w:p w14:paraId="3B1C810E" w14:textId="77777777" w:rsidR="001576C4" w:rsidRDefault="00157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9479" w14:textId="77777777" w:rsidR="008F4E1E" w:rsidRDefault="008F4E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AE0A5" w14:textId="77777777" w:rsidR="008F4E1E" w:rsidRDefault="008F4E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A0F93" w14:textId="77777777" w:rsidR="008F4E1E" w:rsidRDefault="008F4E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827A4" w14:textId="77777777" w:rsidR="001576C4" w:rsidRDefault="001576C4">
      <w:r>
        <w:separator/>
      </w:r>
    </w:p>
  </w:footnote>
  <w:footnote w:type="continuationSeparator" w:id="0">
    <w:p w14:paraId="794C220F" w14:textId="77777777" w:rsidR="001576C4" w:rsidRDefault="001576C4">
      <w:r>
        <w:continuationSeparator/>
      </w:r>
    </w:p>
  </w:footnote>
  <w:footnote w:type="continuationNotice" w:id="1">
    <w:p w14:paraId="02383570" w14:textId="77777777" w:rsidR="001576C4" w:rsidRDefault="00157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26806" w14:textId="77777777" w:rsidR="008F4E1E" w:rsidRDefault="008F4E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DC588" w14:textId="77777777" w:rsidR="008F4E1E" w:rsidRDefault="008F4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4B208" w14:textId="77777777" w:rsidR="008F4E1E" w:rsidRDefault="008F4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C744DEB"/>
    <w:multiLevelType w:val="hybridMultilevel"/>
    <w:tmpl w:val="95FEBA2E"/>
    <w:lvl w:ilvl="0" w:tplc="040B0011">
      <w:start w:val="1"/>
      <w:numFmt w:val="decimal"/>
      <w:lvlText w:val="%1)"/>
      <w:lvlJc w:val="left"/>
      <w:pPr>
        <w:ind w:left="720" w:hanging="360"/>
      </w:pPr>
      <w:rPr>
        <w:rFonts w:hint="default"/>
      </w:rPr>
    </w:lvl>
    <w:lvl w:ilvl="1" w:tplc="FCF0480E">
      <w:start w:val="1"/>
      <w:numFmt w:val="lowerLetter"/>
      <w:lvlText w:val="%2)"/>
      <w:lvlJc w:val="left"/>
      <w:pPr>
        <w:ind w:left="1440" w:hanging="360"/>
      </w:pPr>
      <w:rPr>
        <w:rFonts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5B67580"/>
    <w:multiLevelType w:val="hybridMultilevel"/>
    <w:tmpl w:val="6B30A084"/>
    <w:lvl w:ilvl="0" w:tplc="18CE128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52875BC"/>
    <w:multiLevelType w:val="hybridMultilevel"/>
    <w:tmpl w:val="1506D58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C4018D8"/>
    <w:multiLevelType w:val="hybridMultilevel"/>
    <w:tmpl w:val="0A28D9EE"/>
    <w:lvl w:ilvl="0" w:tplc="AF689DB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9"/>
  </w:num>
  <w:num w:numId="9">
    <w:abstractNumId w:val="8"/>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DD"/>
    <w:rsid w:val="00016557"/>
    <w:rsid w:val="00023C40"/>
    <w:rsid w:val="00033397"/>
    <w:rsid w:val="00040095"/>
    <w:rsid w:val="00046976"/>
    <w:rsid w:val="00073C9C"/>
    <w:rsid w:val="00080512"/>
    <w:rsid w:val="00090468"/>
    <w:rsid w:val="00094568"/>
    <w:rsid w:val="000B7BCF"/>
    <w:rsid w:val="000C522B"/>
    <w:rsid w:val="000C786F"/>
    <w:rsid w:val="000D07A1"/>
    <w:rsid w:val="000D58AB"/>
    <w:rsid w:val="000E35DB"/>
    <w:rsid w:val="00112F1A"/>
    <w:rsid w:val="001342A1"/>
    <w:rsid w:val="00145075"/>
    <w:rsid w:val="00147EE1"/>
    <w:rsid w:val="001576C4"/>
    <w:rsid w:val="001741A0"/>
    <w:rsid w:val="00175FA0"/>
    <w:rsid w:val="0018275D"/>
    <w:rsid w:val="00194418"/>
    <w:rsid w:val="00194CD0"/>
    <w:rsid w:val="001B49C9"/>
    <w:rsid w:val="001B4A79"/>
    <w:rsid w:val="001C23F4"/>
    <w:rsid w:val="001C4F79"/>
    <w:rsid w:val="001F168B"/>
    <w:rsid w:val="001F7831"/>
    <w:rsid w:val="00204045"/>
    <w:rsid w:val="0020712B"/>
    <w:rsid w:val="002163B4"/>
    <w:rsid w:val="0022606D"/>
    <w:rsid w:val="00231728"/>
    <w:rsid w:val="002361D7"/>
    <w:rsid w:val="00242F5A"/>
    <w:rsid w:val="00244A05"/>
    <w:rsid w:val="00250404"/>
    <w:rsid w:val="002610D8"/>
    <w:rsid w:val="00274460"/>
    <w:rsid w:val="002747EC"/>
    <w:rsid w:val="002855BF"/>
    <w:rsid w:val="00296847"/>
    <w:rsid w:val="002D3EAF"/>
    <w:rsid w:val="002D4F46"/>
    <w:rsid w:val="002E2639"/>
    <w:rsid w:val="002F0D22"/>
    <w:rsid w:val="00311B17"/>
    <w:rsid w:val="003172DC"/>
    <w:rsid w:val="00325AE3"/>
    <w:rsid w:val="00326069"/>
    <w:rsid w:val="003326E5"/>
    <w:rsid w:val="0035462D"/>
    <w:rsid w:val="00355577"/>
    <w:rsid w:val="0036459E"/>
    <w:rsid w:val="00364B41"/>
    <w:rsid w:val="00383096"/>
    <w:rsid w:val="0039346C"/>
    <w:rsid w:val="003A41EF"/>
    <w:rsid w:val="003B2FB4"/>
    <w:rsid w:val="003B40AD"/>
    <w:rsid w:val="003B4ABF"/>
    <w:rsid w:val="003C4A68"/>
    <w:rsid w:val="003C4E37"/>
    <w:rsid w:val="003E16BE"/>
    <w:rsid w:val="003F4E28"/>
    <w:rsid w:val="004006E8"/>
    <w:rsid w:val="00401855"/>
    <w:rsid w:val="00431382"/>
    <w:rsid w:val="00465587"/>
    <w:rsid w:val="00470DD8"/>
    <w:rsid w:val="00477455"/>
    <w:rsid w:val="00490F57"/>
    <w:rsid w:val="004A1F7B"/>
    <w:rsid w:val="004B0054"/>
    <w:rsid w:val="004B332B"/>
    <w:rsid w:val="004C44D2"/>
    <w:rsid w:val="004D3578"/>
    <w:rsid w:val="004D380D"/>
    <w:rsid w:val="004E213A"/>
    <w:rsid w:val="005019FF"/>
    <w:rsid w:val="00503171"/>
    <w:rsid w:val="00506C28"/>
    <w:rsid w:val="00534DA0"/>
    <w:rsid w:val="00543E6C"/>
    <w:rsid w:val="00565087"/>
    <w:rsid w:val="0056573F"/>
    <w:rsid w:val="00571279"/>
    <w:rsid w:val="005A49C6"/>
    <w:rsid w:val="005F167D"/>
    <w:rsid w:val="00611566"/>
    <w:rsid w:val="00646D99"/>
    <w:rsid w:val="00656910"/>
    <w:rsid w:val="006574C0"/>
    <w:rsid w:val="00667ED4"/>
    <w:rsid w:val="00696821"/>
    <w:rsid w:val="006A49C8"/>
    <w:rsid w:val="006B4C68"/>
    <w:rsid w:val="006C66D8"/>
    <w:rsid w:val="006D181A"/>
    <w:rsid w:val="006D1E24"/>
    <w:rsid w:val="006D35DE"/>
    <w:rsid w:val="006E1417"/>
    <w:rsid w:val="006E4A89"/>
    <w:rsid w:val="006F6A2C"/>
    <w:rsid w:val="007069DC"/>
    <w:rsid w:val="00710201"/>
    <w:rsid w:val="0072073A"/>
    <w:rsid w:val="00720EF2"/>
    <w:rsid w:val="007342B5"/>
    <w:rsid w:val="00734A5B"/>
    <w:rsid w:val="00744E76"/>
    <w:rsid w:val="007516F7"/>
    <w:rsid w:val="00757D40"/>
    <w:rsid w:val="007662B5"/>
    <w:rsid w:val="007806F3"/>
    <w:rsid w:val="00781F0F"/>
    <w:rsid w:val="00782CB2"/>
    <w:rsid w:val="00784A74"/>
    <w:rsid w:val="0078727C"/>
    <w:rsid w:val="0079049D"/>
    <w:rsid w:val="00791FD8"/>
    <w:rsid w:val="00793332"/>
    <w:rsid w:val="00793DC5"/>
    <w:rsid w:val="007B18D8"/>
    <w:rsid w:val="007C095F"/>
    <w:rsid w:val="007C2DD0"/>
    <w:rsid w:val="007C7B22"/>
    <w:rsid w:val="007F2E08"/>
    <w:rsid w:val="007F59D3"/>
    <w:rsid w:val="008028A4"/>
    <w:rsid w:val="008056F4"/>
    <w:rsid w:val="00813245"/>
    <w:rsid w:val="00840DE0"/>
    <w:rsid w:val="008621BA"/>
    <w:rsid w:val="0086354A"/>
    <w:rsid w:val="008768CA"/>
    <w:rsid w:val="00877EF9"/>
    <w:rsid w:val="00880559"/>
    <w:rsid w:val="00891175"/>
    <w:rsid w:val="008B5306"/>
    <w:rsid w:val="008C2E2A"/>
    <w:rsid w:val="008C3057"/>
    <w:rsid w:val="008C5C1E"/>
    <w:rsid w:val="008D2E4D"/>
    <w:rsid w:val="008E3928"/>
    <w:rsid w:val="008F396F"/>
    <w:rsid w:val="008F3DCD"/>
    <w:rsid w:val="008F4E1E"/>
    <w:rsid w:val="0090271F"/>
    <w:rsid w:val="00902DB9"/>
    <w:rsid w:val="0090466A"/>
    <w:rsid w:val="0091131F"/>
    <w:rsid w:val="00923655"/>
    <w:rsid w:val="00926B4F"/>
    <w:rsid w:val="00936071"/>
    <w:rsid w:val="009376CD"/>
    <w:rsid w:val="00940212"/>
    <w:rsid w:val="00942EC2"/>
    <w:rsid w:val="009557A4"/>
    <w:rsid w:val="00961B32"/>
    <w:rsid w:val="00962509"/>
    <w:rsid w:val="00970DB3"/>
    <w:rsid w:val="00973177"/>
    <w:rsid w:val="00974BB0"/>
    <w:rsid w:val="00975BCD"/>
    <w:rsid w:val="009928A9"/>
    <w:rsid w:val="009A0AF3"/>
    <w:rsid w:val="009B07CD"/>
    <w:rsid w:val="009B1D66"/>
    <w:rsid w:val="009B7266"/>
    <w:rsid w:val="009C19E9"/>
    <w:rsid w:val="009D74A6"/>
    <w:rsid w:val="009E0E87"/>
    <w:rsid w:val="00A10F02"/>
    <w:rsid w:val="00A204CA"/>
    <w:rsid w:val="00A209D6"/>
    <w:rsid w:val="00A22738"/>
    <w:rsid w:val="00A4502C"/>
    <w:rsid w:val="00A53724"/>
    <w:rsid w:val="00A54B2B"/>
    <w:rsid w:val="00A653A3"/>
    <w:rsid w:val="00A82346"/>
    <w:rsid w:val="00A9671C"/>
    <w:rsid w:val="00AA1553"/>
    <w:rsid w:val="00AA5021"/>
    <w:rsid w:val="00B05380"/>
    <w:rsid w:val="00B05962"/>
    <w:rsid w:val="00B15449"/>
    <w:rsid w:val="00B16C2F"/>
    <w:rsid w:val="00B17471"/>
    <w:rsid w:val="00B21CA3"/>
    <w:rsid w:val="00B27303"/>
    <w:rsid w:val="00B35403"/>
    <w:rsid w:val="00B47FD1"/>
    <w:rsid w:val="00B516BB"/>
    <w:rsid w:val="00B84DB2"/>
    <w:rsid w:val="00B948EA"/>
    <w:rsid w:val="00BC309A"/>
    <w:rsid w:val="00BC3555"/>
    <w:rsid w:val="00BE371F"/>
    <w:rsid w:val="00BF4F96"/>
    <w:rsid w:val="00C12B51"/>
    <w:rsid w:val="00C24650"/>
    <w:rsid w:val="00C25465"/>
    <w:rsid w:val="00C33079"/>
    <w:rsid w:val="00C55486"/>
    <w:rsid w:val="00C55AF8"/>
    <w:rsid w:val="00C56DD1"/>
    <w:rsid w:val="00C6553E"/>
    <w:rsid w:val="00C718EA"/>
    <w:rsid w:val="00C83A13"/>
    <w:rsid w:val="00C9068C"/>
    <w:rsid w:val="00C9136B"/>
    <w:rsid w:val="00C92967"/>
    <w:rsid w:val="00C94513"/>
    <w:rsid w:val="00CA3D0C"/>
    <w:rsid w:val="00CA654B"/>
    <w:rsid w:val="00CB6C1D"/>
    <w:rsid w:val="00CB72B8"/>
    <w:rsid w:val="00CC255D"/>
    <w:rsid w:val="00CD4C7B"/>
    <w:rsid w:val="00CD58FE"/>
    <w:rsid w:val="00D275D3"/>
    <w:rsid w:val="00D33BE3"/>
    <w:rsid w:val="00D3792D"/>
    <w:rsid w:val="00D55E47"/>
    <w:rsid w:val="00D62E19"/>
    <w:rsid w:val="00D67CD1"/>
    <w:rsid w:val="00D70E67"/>
    <w:rsid w:val="00D738D6"/>
    <w:rsid w:val="00D80795"/>
    <w:rsid w:val="00D83E9D"/>
    <w:rsid w:val="00D854BE"/>
    <w:rsid w:val="00D87E00"/>
    <w:rsid w:val="00D9134D"/>
    <w:rsid w:val="00D96D11"/>
    <w:rsid w:val="00DA7A03"/>
    <w:rsid w:val="00DB0DB8"/>
    <w:rsid w:val="00DB1818"/>
    <w:rsid w:val="00DC12D8"/>
    <w:rsid w:val="00DC309B"/>
    <w:rsid w:val="00DC4DA2"/>
    <w:rsid w:val="00DC5261"/>
    <w:rsid w:val="00DD501A"/>
    <w:rsid w:val="00DE0980"/>
    <w:rsid w:val="00DE25D2"/>
    <w:rsid w:val="00DF1AB2"/>
    <w:rsid w:val="00E14710"/>
    <w:rsid w:val="00E46C08"/>
    <w:rsid w:val="00E471CF"/>
    <w:rsid w:val="00E614DC"/>
    <w:rsid w:val="00E62835"/>
    <w:rsid w:val="00E67C52"/>
    <w:rsid w:val="00E77645"/>
    <w:rsid w:val="00E83697"/>
    <w:rsid w:val="00EA057A"/>
    <w:rsid w:val="00EA66C9"/>
    <w:rsid w:val="00EB3058"/>
    <w:rsid w:val="00EC24E1"/>
    <w:rsid w:val="00EC4A25"/>
    <w:rsid w:val="00EF612C"/>
    <w:rsid w:val="00F025A2"/>
    <w:rsid w:val="00F036E9"/>
    <w:rsid w:val="00F07388"/>
    <w:rsid w:val="00F161F7"/>
    <w:rsid w:val="00F2026E"/>
    <w:rsid w:val="00F2210A"/>
    <w:rsid w:val="00F34877"/>
    <w:rsid w:val="00F37743"/>
    <w:rsid w:val="00F54A3D"/>
    <w:rsid w:val="00F54CB0"/>
    <w:rsid w:val="00F579CD"/>
    <w:rsid w:val="00F653B8"/>
    <w:rsid w:val="00F71B89"/>
    <w:rsid w:val="00F7353C"/>
    <w:rsid w:val="00F76F8F"/>
    <w:rsid w:val="00F91058"/>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rsid w:val="007C7B22"/>
    <w:rPr>
      <w:sz w:val="16"/>
    </w:rPr>
  </w:style>
  <w:style w:type="paragraph" w:styleId="CommentText">
    <w:name w:val="annotation text"/>
    <w:basedOn w:val="Normal"/>
    <w:link w:val="CommentTextChar"/>
    <w:rsid w:val="007C7B22"/>
  </w:style>
  <w:style w:type="character" w:customStyle="1" w:styleId="CommentTextChar">
    <w:name w:val="Comment Text Char"/>
    <w:basedOn w:val="DefaultParagraphFont"/>
    <w:link w:val="CommentText"/>
    <w:rsid w:val="007C7B22"/>
    <w:rPr>
      <w:lang w:eastAsia="en-US"/>
    </w:rPr>
  </w:style>
  <w:style w:type="character" w:customStyle="1" w:styleId="THChar">
    <w:name w:val="TH Char"/>
    <w:link w:val="TH"/>
    <w:qFormat/>
    <w:rsid w:val="00D275D3"/>
    <w:rPr>
      <w:rFonts w:ascii="Arial" w:hAnsi="Arial"/>
      <w:b/>
      <w:lang w:eastAsia="en-US"/>
    </w:rPr>
  </w:style>
  <w:style w:type="character" w:customStyle="1" w:styleId="TALChar">
    <w:name w:val="TAL Char"/>
    <w:link w:val="TAL"/>
    <w:qFormat/>
    <w:rsid w:val="00D275D3"/>
    <w:rPr>
      <w:rFonts w:ascii="Arial" w:hAnsi="Arial"/>
      <w:sz w:val="18"/>
      <w:lang w:eastAsia="en-US"/>
    </w:rPr>
  </w:style>
  <w:style w:type="character" w:customStyle="1" w:styleId="TAHChar">
    <w:name w:val="TAH Char"/>
    <w:link w:val="TAH"/>
    <w:rsid w:val="00D275D3"/>
    <w:rPr>
      <w:rFonts w:ascii="Arial" w:hAnsi="Arial"/>
      <w:b/>
      <w:sz w:val="18"/>
      <w:lang w:eastAsia="en-US"/>
    </w:rPr>
  </w:style>
  <w:style w:type="paragraph" w:styleId="ListParagraph">
    <w:name w:val="List Paragraph"/>
    <w:basedOn w:val="Normal"/>
    <w:uiPriority w:val="34"/>
    <w:qFormat/>
    <w:rsid w:val="00891175"/>
    <w:pPr>
      <w:ind w:left="720"/>
      <w:contextualSpacing/>
    </w:pPr>
  </w:style>
  <w:style w:type="character" w:customStyle="1" w:styleId="TALCar">
    <w:name w:val="TAL Car"/>
    <w:basedOn w:val="DefaultParagraphFont"/>
    <w:qFormat/>
    <w:locked/>
    <w:rsid w:val="003326E5"/>
    <w:rPr>
      <w:rFonts w:ascii="Arial" w:eastAsiaTheme="minorEastAsia" w:hAnsi="Arial" w:cs="Arial"/>
      <w:sz w:val="18"/>
      <w:lang w:eastAsia="en-US"/>
    </w:rPr>
  </w:style>
  <w:style w:type="paragraph" w:styleId="CommentSubject">
    <w:name w:val="annotation subject"/>
    <w:basedOn w:val="CommentText"/>
    <w:next w:val="CommentText"/>
    <w:link w:val="CommentSubjectChar"/>
    <w:rsid w:val="008056F4"/>
    <w:rPr>
      <w:b/>
      <w:bCs/>
    </w:rPr>
  </w:style>
  <w:style w:type="character" w:customStyle="1" w:styleId="CommentSubjectChar">
    <w:name w:val="Comment Subject Char"/>
    <w:basedOn w:val="CommentTextChar"/>
    <w:link w:val="CommentSubject"/>
    <w:rsid w:val="008056F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09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499585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1764754">
      <w:bodyDiv w:val="1"/>
      <w:marLeft w:val="0"/>
      <w:marRight w:val="0"/>
      <w:marTop w:val="0"/>
      <w:marBottom w:val="0"/>
      <w:divBdr>
        <w:top w:val="none" w:sz="0" w:space="0" w:color="auto"/>
        <w:left w:val="none" w:sz="0" w:space="0" w:color="auto"/>
        <w:bottom w:val="none" w:sz="0" w:space="0" w:color="auto"/>
        <w:right w:val="none" w:sz="0" w:space="0" w:color="auto"/>
      </w:divBdr>
    </w:div>
    <w:div w:id="1767379617">
      <w:bodyDiv w:val="1"/>
      <w:marLeft w:val="0"/>
      <w:marRight w:val="0"/>
      <w:marTop w:val="0"/>
      <w:marBottom w:val="0"/>
      <w:divBdr>
        <w:top w:val="none" w:sz="0" w:space="0" w:color="auto"/>
        <w:left w:val="none" w:sz="0" w:space="0" w:color="auto"/>
        <w:bottom w:val="none" w:sz="0" w:space="0" w:color="auto"/>
        <w:right w:val="none" w:sz="0" w:space="0" w:color="auto"/>
      </w:divBdr>
    </w:div>
    <w:div w:id="1867255072">
      <w:bodyDiv w:val="1"/>
      <w:marLeft w:val="0"/>
      <w:marRight w:val="0"/>
      <w:marTop w:val="0"/>
      <w:marBottom w:val="0"/>
      <w:divBdr>
        <w:top w:val="none" w:sz="0" w:space="0" w:color="auto"/>
        <w:left w:val="none" w:sz="0" w:space="0" w:color="auto"/>
        <w:bottom w:val="none" w:sz="0" w:space="0" w:color="auto"/>
        <w:right w:val="none" w:sz="0" w:space="0" w:color="auto"/>
      </w:divBdr>
    </w:div>
    <w:div w:id="1916892121">
      <w:bodyDiv w:val="1"/>
      <w:marLeft w:val="0"/>
      <w:marRight w:val="0"/>
      <w:marTop w:val="0"/>
      <w:marBottom w:val="0"/>
      <w:divBdr>
        <w:top w:val="none" w:sz="0" w:space="0" w:color="auto"/>
        <w:left w:val="none" w:sz="0" w:space="0" w:color="auto"/>
        <w:bottom w:val="none" w:sz="0" w:space="0" w:color="auto"/>
        <w:right w:val="none" w:sz="0" w:space="0" w:color="auto"/>
      </w:divBdr>
    </w:div>
    <w:div w:id="193142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5AIRPNAIUNRU-859666464-7523</_dlc_DocId>
    <_dlc_DocIdUrl xmlns="71c5aaf6-e6ce-465b-b873-5148d2a4c105">
      <Url>https://nokia.sharepoint.com/sites/c5g/e2earch/_layouts/15/DocIdRedir.aspx?ID=5AIRPNAIUNRU-859666464-7523</Url>
      <Description>5AIRPNAIUNRU-859666464-7523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http://purl.org/dc/dcmitype/"/>
    <ds:schemaRef ds:uri="http://purl.org/dc/elements/1.1/"/>
    <ds:schemaRef ds:uri="3b34c8f0-1ef5-4d1e-bb66-517ce7fe7356"/>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83f22d2f-d16e-4be6-ad4f-29fa0b067c3c"/>
    <ds:schemaRef ds:uri="a3840f4f-04be-43d1-b2ef-6ff1382503c7"/>
    <ds:schemaRef ds:uri="71c5aaf6-e6ce-465b-b873-5148d2a4c105"/>
    <ds:schemaRef ds:uri="http://purl.org/dc/te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4E16584-28BD-4407-A4F3-41D595B7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Pages>
  <Words>1361</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8220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38</cp:revision>
  <dcterms:created xsi:type="dcterms:W3CDTF">2020-10-14T05:04:00Z</dcterms:created>
  <dcterms:modified xsi:type="dcterms:W3CDTF">2020-10-23T03:45:00Z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dbce0e71-bd62-4204-86bc-ebe347c878af</vt:lpwstr>
  </property>
</Properties>
</file>